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A3970" w14:textId="77777777" w:rsidR="00120914" w:rsidRPr="00921370" w:rsidRDefault="00120914" w:rsidP="00120914">
      <w:pPr>
        <w:rPr>
          <w:rFonts w:ascii="Arial" w:hAnsi="Arial" w:cs="Arial"/>
          <w:b/>
          <w:sz w:val="32"/>
        </w:rPr>
      </w:pPr>
      <w:bookmarkStart w:id="0" w:name="_GoBack"/>
      <w:bookmarkEnd w:id="0"/>
      <w:r w:rsidRPr="00921370">
        <w:rPr>
          <w:rFonts w:ascii="Arial" w:hAnsi="Arial" w:cs="Arial"/>
          <w:b/>
          <w:sz w:val="32"/>
        </w:rPr>
        <w:t>Center Pair Exploration Course Guidelines</w:t>
      </w:r>
    </w:p>
    <w:p w14:paraId="6F9A2B9E" w14:textId="77777777" w:rsidR="00120914" w:rsidRPr="00921370" w:rsidRDefault="00120914" w:rsidP="00120914">
      <w:pPr>
        <w:rPr>
          <w:rFonts w:ascii="Arial" w:hAnsi="Arial" w:cs="Arial"/>
        </w:rPr>
      </w:pPr>
      <w:r w:rsidRPr="00921370">
        <w:rPr>
          <w:rFonts w:ascii="Arial" w:hAnsi="Arial" w:cs="Arial"/>
        </w:rPr>
        <w:t>Created by CPE Working Group, Spring 2017</w:t>
      </w:r>
    </w:p>
    <w:p w14:paraId="08883381" w14:textId="77777777" w:rsidR="00120914" w:rsidRPr="00921370" w:rsidRDefault="00120914" w:rsidP="00120914">
      <w:pPr>
        <w:rPr>
          <w:rFonts w:ascii="Arial" w:hAnsi="Arial" w:cs="Arial"/>
          <w:b/>
          <w:sz w:val="22"/>
          <w:szCs w:val="22"/>
          <w:u w:val="single"/>
        </w:rPr>
      </w:pPr>
    </w:p>
    <w:p w14:paraId="6C2C8CF0" w14:textId="77777777" w:rsidR="00120914" w:rsidRPr="00921370" w:rsidRDefault="00120914" w:rsidP="00120914">
      <w:pPr>
        <w:rPr>
          <w:rFonts w:ascii="Arial" w:eastAsia="Times New Roman" w:hAnsi="Arial" w:cs="Arial"/>
          <w:b/>
          <w:bCs/>
          <w:color w:val="000000"/>
          <w:sz w:val="22"/>
          <w:szCs w:val="22"/>
        </w:rPr>
      </w:pPr>
      <w:r w:rsidRPr="00921370">
        <w:rPr>
          <w:rFonts w:ascii="Arial" w:eastAsia="Times New Roman" w:hAnsi="Arial" w:cs="Arial"/>
          <w:b/>
          <w:bCs/>
          <w:color w:val="000000"/>
          <w:sz w:val="22"/>
          <w:szCs w:val="22"/>
        </w:rPr>
        <w:t>What is vision for CPE courses?</w:t>
      </w:r>
    </w:p>
    <w:p w14:paraId="0427D26B" w14:textId="77777777" w:rsidR="00120914" w:rsidRPr="00921370" w:rsidRDefault="00120914" w:rsidP="00120914">
      <w:pPr>
        <w:rPr>
          <w:rFonts w:ascii="Arial" w:eastAsia="Times New Roman" w:hAnsi="Arial" w:cs="Arial"/>
        </w:rPr>
      </w:pPr>
      <w:r w:rsidRPr="00921370">
        <w:rPr>
          <w:rFonts w:ascii="Arial" w:eastAsia="Times New Roman" w:hAnsi="Arial" w:cs="Arial"/>
          <w:bCs/>
          <w:color w:val="000000"/>
          <w:sz w:val="22"/>
          <w:szCs w:val="22"/>
        </w:rPr>
        <w:t xml:space="preserve">Each CPE course will take shape around a specific problem space, which will evolve and develop throughout the semester in response to student curiosity. With a provided foundation of disciplinary methodologies and frameworks, student projects will begin in the first weeks of the course. For the rest of semester, the classroom will serve as a platform for collaborative inquiry into the complexities of topics, including how to skillfully identify a problem, how to meaningfully ask questions about a problem, and how to learn, across disciplines, what one needs to know in order to engage the problem in sophisticated ways. </w:t>
      </w:r>
    </w:p>
    <w:p w14:paraId="06C016D6" w14:textId="77777777" w:rsidR="00120914" w:rsidRPr="00921370" w:rsidRDefault="00120914" w:rsidP="00120914">
      <w:pPr>
        <w:rPr>
          <w:rFonts w:ascii="Arial" w:hAnsi="Arial" w:cs="Arial"/>
          <w:b/>
          <w:sz w:val="22"/>
          <w:szCs w:val="22"/>
        </w:rPr>
      </w:pPr>
    </w:p>
    <w:p w14:paraId="1238B98E" w14:textId="77777777" w:rsidR="00120914" w:rsidRPr="00921370" w:rsidRDefault="00120914" w:rsidP="00120914">
      <w:pPr>
        <w:rPr>
          <w:rFonts w:ascii="Arial" w:hAnsi="Arial" w:cs="Arial"/>
          <w:b/>
          <w:sz w:val="22"/>
          <w:szCs w:val="22"/>
        </w:rPr>
      </w:pPr>
      <w:r w:rsidRPr="00921370">
        <w:rPr>
          <w:rFonts w:ascii="Arial" w:hAnsi="Arial" w:cs="Arial"/>
          <w:b/>
          <w:sz w:val="22"/>
          <w:szCs w:val="22"/>
        </w:rPr>
        <w:t>How do CPE courses</w:t>
      </w:r>
      <w:r>
        <w:rPr>
          <w:rFonts w:ascii="Arial" w:hAnsi="Arial" w:cs="Arial"/>
          <w:b/>
          <w:sz w:val="22"/>
          <w:szCs w:val="22"/>
        </w:rPr>
        <w:t xml:space="preserve"> count toward student degrees? </w:t>
      </w:r>
    </w:p>
    <w:p w14:paraId="25333DB3" w14:textId="77777777" w:rsidR="00120914" w:rsidRPr="00921370" w:rsidRDefault="00120914" w:rsidP="00120914">
      <w:pPr>
        <w:rPr>
          <w:rFonts w:ascii="Arial" w:hAnsi="Arial" w:cs="Arial"/>
          <w:sz w:val="22"/>
          <w:szCs w:val="22"/>
        </w:rPr>
      </w:pPr>
      <w:r w:rsidRPr="00921370">
        <w:rPr>
          <w:rFonts w:ascii="Arial" w:hAnsi="Arial" w:cs="Arial"/>
          <w:sz w:val="22"/>
          <w:szCs w:val="22"/>
        </w:rPr>
        <w:t>CPE courses will be 200 level courses taken by students between their second and sixth semesters of college. Students are limited to one CPE per semester and must take a total of three CPE courses outside the Center Pair to which their major belongs. As per the Catalog, CPE courses will include a “course code” designating which Center Pair they represent:</w:t>
      </w:r>
    </w:p>
    <w:p w14:paraId="39D2CFF3" w14:textId="77777777" w:rsidR="00120914" w:rsidRPr="00921370" w:rsidRDefault="00120914" w:rsidP="00120914">
      <w:pPr>
        <w:ind w:left="360"/>
        <w:rPr>
          <w:rFonts w:ascii="Arial" w:hAnsi="Arial" w:cs="Arial"/>
          <w:sz w:val="22"/>
          <w:szCs w:val="22"/>
        </w:rPr>
      </w:pPr>
    </w:p>
    <w:tbl>
      <w:tblPr>
        <w:tblW w:w="7740" w:type="dxa"/>
        <w:tblCellSpacing w:w="7" w:type="dxa"/>
        <w:tblInd w:w="712" w:type="dxa"/>
        <w:tblBorders>
          <w:top w:val="outset" w:sz="6" w:space="0" w:color="auto"/>
          <w:left w:val="outset" w:sz="6" w:space="0" w:color="auto"/>
          <w:bottom w:val="outset" w:sz="6" w:space="0" w:color="auto"/>
          <w:right w:val="outset" w:sz="6" w:space="0" w:color="auto"/>
        </w:tblBorders>
        <w:shd w:val="clear" w:color="auto" w:fill="D2D2CB"/>
        <w:tblCellMar>
          <w:top w:w="15" w:type="dxa"/>
          <w:left w:w="15" w:type="dxa"/>
          <w:bottom w:w="15" w:type="dxa"/>
          <w:right w:w="15" w:type="dxa"/>
        </w:tblCellMar>
        <w:tblLook w:val="04A0" w:firstRow="1" w:lastRow="0" w:firstColumn="1" w:lastColumn="0" w:noHBand="0" w:noVBand="1"/>
      </w:tblPr>
      <w:tblGrid>
        <w:gridCol w:w="1530"/>
        <w:gridCol w:w="6210"/>
      </w:tblGrid>
      <w:tr w:rsidR="00120914" w:rsidRPr="00921370" w14:paraId="57CE18EB" w14:textId="77777777" w:rsidTr="001359B5">
        <w:trPr>
          <w:tblCellSpacing w:w="7" w:type="dxa"/>
        </w:trPr>
        <w:tc>
          <w:tcPr>
            <w:tcW w:w="1509" w:type="dxa"/>
            <w:tcBorders>
              <w:top w:val="outset" w:sz="6" w:space="0" w:color="auto"/>
              <w:left w:val="outset" w:sz="6" w:space="0" w:color="auto"/>
              <w:bottom w:val="outset" w:sz="6" w:space="0" w:color="auto"/>
              <w:right w:val="outset" w:sz="6" w:space="0" w:color="auto"/>
            </w:tcBorders>
            <w:shd w:val="clear" w:color="auto" w:fill="D2D2CB"/>
            <w:tcMar>
              <w:top w:w="0" w:type="dxa"/>
              <w:left w:w="0" w:type="dxa"/>
              <w:bottom w:w="0" w:type="dxa"/>
              <w:right w:w="0" w:type="dxa"/>
            </w:tcMar>
            <w:hideMark/>
          </w:tcPr>
          <w:p w14:paraId="67806189" w14:textId="77777777" w:rsidR="00120914" w:rsidRPr="00921370" w:rsidRDefault="00120914" w:rsidP="001359B5">
            <w:pPr>
              <w:spacing w:line="210" w:lineRule="atLeast"/>
              <w:ind w:left="340" w:hanging="270"/>
              <w:rPr>
                <w:rFonts w:ascii="Arial" w:eastAsia="Times New Roman" w:hAnsi="Arial" w:cs="Arial"/>
                <w:color w:val="000000"/>
                <w:sz w:val="17"/>
                <w:szCs w:val="17"/>
              </w:rPr>
            </w:pPr>
            <w:r w:rsidRPr="00921370">
              <w:rPr>
                <w:rFonts w:ascii="Arial" w:eastAsia="Times New Roman" w:hAnsi="Arial" w:cs="Arial"/>
                <w:b/>
                <w:bCs/>
                <w:color w:val="000000"/>
                <w:sz w:val="17"/>
                <w:szCs w:val="17"/>
                <w:u w:val="single"/>
                <w:bdr w:val="none" w:sz="0" w:space="0" w:color="auto" w:frame="1"/>
              </w:rPr>
              <w:t>Center Course Code</w:t>
            </w:r>
          </w:p>
        </w:tc>
        <w:tc>
          <w:tcPr>
            <w:tcW w:w="6189" w:type="dxa"/>
            <w:tcBorders>
              <w:top w:val="outset" w:sz="6" w:space="0" w:color="auto"/>
              <w:left w:val="outset" w:sz="6" w:space="0" w:color="auto"/>
              <w:bottom w:val="outset" w:sz="6" w:space="0" w:color="auto"/>
              <w:right w:val="outset" w:sz="6" w:space="0" w:color="auto"/>
            </w:tcBorders>
            <w:shd w:val="clear" w:color="auto" w:fill="D2D2CB"/>
            <w:tcMar>
              <w:top w:w="0" w:type="dxa"/>
              <w:left w:w="0" w:type="dxa"/>
              <w:bottom w:w="0" w:type="dxa"/>
              <w:right w:w="0" w:type="dxa"/>
            </w:tcMar>
            <w:hideMark/>
          </w:tcPr>
          <w:p w14:paraId="432AB0D1" w14:textId="77777777" w:rsidR="00120914" w:rsidRPr="00921370" w:rsidRDefault="00120914" w:rsidP="001359B5">
            <w:pPr>
              <w:spacing w:line="210" w:lineRule="atLeast"/>
              <w:ind w:left="340" w:hanging="270"/>
              <w:rPr>
                <w:rFonts w:ascii="Arial" w:eastAsia="Times New Roman" w:hAnsi="Arial" w:cs="Arial"/>
                <w:color w:val="000000"/>
                <w:sz w:val="17"/>
                <w:szCs w:val="17"/>
              </w:rPr>
            </w:pPr>
            <w:r w:rsidRPr="00921370">
              <w:rPr>
                <w:rFonts w:ascii="Arial" w:eastAsia="Times New Roman" w:hAnsi="Arial" w:cs="Arial"/>
                <w:b/>
                <w:bCs/>
                <w:color w:val="000000"/>
                <w:sz w:val="17"/>
                <w:szCs w:val="17"/>
                <w:u w:val="single"/>
                <w:bdr w:val="none" w:sz="0" w:space="0" w:color="auto" w:frame="1"/>
              </w:rPr>
              <w:t>Paired Centers</w:t>
            </w:r>
          </w:p>
        </w:tc>
      </w:tr>
      <w:tr w:rsidR="00120914" w:rsidRPr="00921370" w14:paraId="281CFEBA" w14:textId="77777777" w:rsidTr="001359B5">
        <w:trPr>
          <w:tblCellSpacing w:w="7" w:type="dxa"/>
        </w:trPr>
        <w:tc>
          <w:tcPr>
            <w:tcW w:w="1509" w:type="dxa"/>
            <w:tcBorders>
              <w:top w:val="outset" w:sz="6" w:space="0" w:color="auto"/>
              <w:left w:val="outset" w:sz="6" w:space="0" w:color="auto"/>
              <w:bottom w:val="outset" w:sz="6" w:space="0" w:color="auto"/>
              <w:right w:val="outset" w:sz="6" w:space="0" w:color="auto"/>
            </w:tcBorders>
            <w:shd w:val="clear" w:color="auto" w:fill="D2D2CB"/>
            <w:tcMar>
              <w:top w:w="0" w:type="dxa"/>
              <w:left w:w="0" w:type="dxa"/>
              <w:bottom w:w="0" w:type="dxa"/>
              <w:right w:w="0" w:type="dxa"/>
            </w:tcMar>
            <w:hideMark/>
          </w:tcPr>
          <w:p w14:paraId="189EC4CB" w14:textId="77777777" w:rsidR="00120914" w:rsidRPr="00921370" w:rsidRDefault="00120914" w:rsidP="001359B5">
            <w:pPr>
              <w:spacing w:line="210" w:lineRule="atLeast"/>
              <w:ind w:left="340" w:hanging="270"/>
              <w:rPr>
                <w:rFonts w:ascii="Arial" w:eastAsia="Times New Roman" w:hAnsi="Arial" w:cs="Arial"/>
                <w:color w:val="000000"/>
                <w:sz w:val="17"/>
                <w:szCs w:val="17"/>
              </w:rPr>
            </w:pPr>
            <w:r w:rsidRPr="00921370">
              <w:rPr>
                <w:rFonts w:ascii="Arial" w:eastAsia="Times New Roman" w:hAnsi="Arial" w:cs="Arial"/>
                <w:color w:val="000000"/>
                <w:sz w:val="17"/>
                <w:szCs w:val="17"/>
              </w:rPr>
              <w:t>CPEA</w:t>
            </w:r>
          </w:p>
        </w:tc>
        <w:tc>
          <w:tcPr>
            <w:tcW w:w="6189" w:type="dxa"/>
            <w:tcBorders>
              <w:top w:val="outset" w:sz="6" w:space="0" w:color="auto"/>
              <w:left w:val="outset" w:sz="6" w:space="0" w:color="auto"/>
              <w:bottom w:val="outset" w:sz="6" w:space="0" w:color="auto"/>
              <w:right w:val="outset" w:sz="6" w:space="0" w:color="auto"/>
            </w:tcBorders>
            <w:shd w:val="clear" w:color="auto" w:fill="D2D2CB"/>
            <w:tcMar>
              <w:top w:w="0" w:type="dxa"/>
              <w:left w:w="0" w:type="dxa"/>
              <w:bottom w:w="0" w:type="dxa"/>
              <w:right w:w="0" w:type="dxa"/>
            </w:tcMar>
            <w:hideMark/>
          </w:tcPr>
          <w:p w14:paraId="1DF055EC" w14:textId="77777777" w:rsidR="00120914" w:rsidRPr="00921370" w:rsidRDefault="00120914" w:rsidP="001359B5">
            <w:pPr>
              <w:spacing w:line="210" w:lineRule="atLeast"/>
              <w:ind w:left="340" w:hanging="270"/>
              <w:rPr>
                <w:rFonts w:ascii="Arial" w:eastAsia="Times New Roman" w:hAnsi="Arial" w:cs="Arial"/>
                <w:color w:val="000000"/>
                <w:sz w:val="17"/>
                <w:szCs w:val="17"/>
              </w:rPr>
            </w:pPr>
            <w:r w:rsidRPr="00921370">
              <w:rPr>
                <w:rFonts w:ascii="Arial" w:eastAsia="Times New Roman" w:hAnsi="Arial" w:cs="Arial"/>
                <w:color w:val="000000"/>
                <w:sz w:val="17"/>
                <w:szCs w:val="17"/>
              </w:rPr>
              <w:t>Center of Art and Media/Center for Dance, Music, and Theatre</w:t>
            </w:r>
          </w:p>
        </w:tc>
      </w:tr>
      <w:tr w:rsidR="00120914" w:rsidRPr="00921370" w14:paraId="0D427885" w14:textId="77777777" w:rsidTr="001359B5">
        <w:trPr>
          <w:tblCellSpacing w:w="7" w:type="dxa"/>
        </w:trPr>
        <w:tc>
          <w:tcPr>
            <w:tcW w:w="1509" w:type="dxa"/>
            <w:tcBorders>
              <w:top w:val="outset" w:sz="6" w:space="0" w:color="auto"/>
              <w:left w:val="outset" w:sz="6" w:space="0" w:color="auto"/>
              <w:bottom w:val="outset" w:sz="6" w:space="0" w:color="auto"/>
              <w:right w:val="outset" w:sz="6" w:space="0" w:color="auto"/>
            </w:tcBorders>
            <w:shd w:val="clear" w:color="auto" w:fill="D2D2CB"/>
            <w:tcMar>
              <w:top w:w="0" w:type="dxa"/>
              <w:left w:w="0" w:type="dxa"/>
              <w:bottom w:w="0" w:type="dxa"/>
              <w:right w:w="0" w:type="dxa"/>
            </w:tcMar>
            <w:hideMark/>
          </w:tcPr>
          <w:p w14:paraId="7B64DDB0" w14:textId="77777777" w:rsidR="00120914" w:rsidRPr="00921370" w:rsidRDefault="00120914" w:rsidP="001359B5">
            <w:pPr>
              <w:spacing w:line="210" w:lineRule="atLeast"/>
              <w:ind w:left="340" w:hanging="270"/>
              <w:rPr>
                <w:rFonts w:ascii="Arial" w:eastAsia="Times New Roman" w:hAnsi="Arial" w:cs="Arial"/>
                <w:color w:val="000000"/>
                <w:sz w:val="17"/>
                <w:szCs w:val="17"/>
              </w:rPr>
            </w:pPr>
            <w:r w:rsidRPr="00921370">
              <w:rPr>
                <w:rFonts w:ascii="Arial" w:eastAsia="Times New Roman" w:hAnsi="Arial" w:cs="Arial"/>
                <w:color w:val="000000"/>
                <w:sz w:val="17"/>
                <w:szCs w:val="17"/>
              </w:rPr>
              <w:t>CPEB</w:t>
            </w:r>
          </w:p>
        </w:tc>
        <w:tc>
          <w:tcPr>
            <w:tcW w:w="6189" w:type="dxa"/>
            <w:tcBorders>
              <w:top w:val="outset" w:sz="6" w:space="0" w:color="auto"/>
              <w:left w:val="outset" w:sz="6" w:space="0" w:color="auto"/>
              <w:bottom w:val="outset" w:sz="6" w:space="0" w:color="auto"/>
              <w:right w:val="outset" w:sz="6" w:space="0" w:color="auto"/>
            </w:tcBorders>
            <w:shd w:val="clear" w:color="auto" w:fill="D2D2CB"/>
            <w:tcMar>
              <w:top w:w="0" w:type="dxa"/>
              <w:left w:w="0" w:type="dxa"/>
              <w:bottom w:w="0" w:type="dxa"/>
              <w:right w:w="0" w:type="dxa"/>
            </w:tcMar>
            <w:hideMark/>
          </w:tcPr>
          <w:p w14:paraId="6799AB03" w14:textId="77777777" w:rsidR="00120914" w:rsidRPr="00921370" w:rsidRDefault="00120914" w:rsidP="001359B5">
            <w:pPr>
              <w:spacing w:line="210" w:lineRule="atLeast"/>
              <w:ind w:left="340" w:hanging="270"/>
              <w:rPr>
                <w:rFonts w:ascii="Arial" w:eastAsia="Times New Roman" w:hAnsi="Arial" w:cs="Arial"/>
                <w:color w:val="000000"/>
                <w:sz w:val="17"/>
                <w:szCs w:val="17"/>
              </w:rPr>
            </w:pPr>
            <w:r w:rsidRPr="00921370">
              <w:rPr>
                <w:rFonts w:ascii="Arial" w:eastAsia="Times New Roman" w:hAnsi="Arial" w:cs="Arial"/>
                <w:color w:val="000000"/>
                <w:sz w:val="17"/>
                <w:szCs w:val="17"/>
              </w:rPr>
              <w:t>Center of Education, Business, and Professional Studies/Center for People, Politics, and Markets</w:t>
            </w:r>
          </w:p>
        </w:tc>
      </w:tr>
      <w:tr w:rsidR="00120914" w:rsidRPr="00921370" w14:paraId="4409E950" w14:textId="77777777" w:rsidTr="001359B5">
        <w:trPr>
          <w:tblCellSpacing w:w="7" w:type="dxa"/>
        </w:trPr>
        <w:tc>
          <w:tcPr>
            <w:tcW w:w="1509" w:type="dxa"/>
            <w:tcBorders>
              <w:top w:val="outset" w:sz="6" w:space="0" w:color="auto"/>
              <w:left w:val="outset" w:sz="6" w:space="0" w:color="auto"/>
              <w:bottom w:val="outset" w:sz="6" w:space="0" w:color="auto"/>
              <w:right w:val="outset" w:sz="6" w:space="0" w:color="auto"/>
            </w:tcBorders>
            <w:shd w:val="clear" w:color="auto" w:fill="D2D2CB"/>
            <w:tcMar>
              <w:top w:w="0" w:type="dxa"/>
              <w:left w:w="0" w:type="dxa"/>
              <w:bottom w:w="0" w:type="dxa"/>
              <w:right w:w="0" w:type="dxa"/>
            </w:tcMar>
            <w:hideMark/>
          </w:tcPr>
          <w:p w14:paraId="4A164568" w14:textId="77777777" w:rsidR="00120914" w:rsidRPr="00921370" w:rsidRDefault="00120914" w:rsidP="001359B5">
            <w:pPr>
              <w:spacing w:line="210" w:lineRule="atLeast"/>
              <w:ind w:left="340" w:hanging="270"/>
              <w:rPr>
                <w:rFonts w:ascii="Arial" w:eastAsia="Times New Roman" w:hAnsi="Arial" w:cs="Arial"/>
                <w:color w:val="000000"/>
                <w:sz w:val="17"/>
                <w:szCs w:val="17"/>
              </w:rPr>
            </w:pPr>
            <w:r w:rsidRPr="00921370">
              <w:rPr>
                <w:rFonts w:ascii="Arial" w:eastAsia="Times New Roman" w:hAnsi="Arial" w:cs="Arial"/>
                <w:color w:val="000000"/>
                <w:sz w:val="17"/>
                <w:szCs w:val="17"/>
              </w:rPr>
              <w:t>CPEC</w:t>
            </w:r>
          </w:p>
        </w:tc>
        <w:tc>
          <w:tcPr>
            <w:tcW w:w="6189" w:type="dxa"/>
            <w:tcBorders>
              <w:top w:val="outset" w:sz="6" w:space="0" w:color="auto"/>
              <w:left w:val="outset" w:sz="6" w:space="0" w:color="auto"/>
              <w:bottom w:val="outset" w:sz="6" w:space="0" w:color="auto"/>
              <w:right w:val="outset" w:sz="6" w:space="0" w:color="auto"/>
            </w:tcBorders>
            <w:shd w:val="clear" w:color="auto" w:fill="D2D2CB"/>
            <w:tcMar>
              <w:top w:w="0" w:type="dxa"/>
              <w:left w:w="0" w:type="dxa"/>
              <w:bottom w:w="0" w:type="dxa"/>
              <w:right w:w="0" w:type="dxa"/>
            </w:tcMar>
            <w:hideMark/>
          </w:tcPr>
          <w:p w14:paraId="53717E5F" w14:textId="77777777" w:rsidR="00120914" w:rsidRPr="00921370" w:rsidRDefault="00120914" w:rsidP="001359B5">
            <w:pPr>
              <w:spacing w:line="210" w:lineRule="atLeast"/>
              <w:ind w:left="340" w:hanging="270"/>
              <w:rPr>
                <w:rFonts w:ascii="Arial" w:eastAsia="Times New Roman" w:hAnsi="Arial" w:cs="Arial"/>
                <w:color w:val="000000"/>
                <w:sz w:val="17"/>
                <w:szCs w:val="17"/>
              </w:rPr>
            </w:pPr>
            <w:r w:rsidRPr="00921370">
              <w:rPr>
                <w:rFonts w:ascii="Arial" w:eastAsia="Times New Roman" w:hAnsi="Arial" w:cs="Arial"/>
                <w:color w:val="000000"/>
                <w:sz w:val="17"/>
                <w:szCs w:val="17"/>
              </w:rPr>
              <w:t xml:space="preserve">Center of Geographies of Justice and Cultures/Center of Humanities </w:t>
            </w:r>
            <w:r w:rsidRPr="00921370">
              <w:rPr>
                <w:rFonts w:ascii="Arial" w:eastAsia="Times New Roman" w:hAnsi="Arial" w:cs="Arial"/>
                <w:color w:val="000000"/>
                <w:sz w:val="17"/>
                <w:szCs w:val="17"/>
              </w:rPr>
              <w:br/>
            </w:r>
            <w:r w:rsidRPr="00921370">
              <w:rPr>
                <w:rFonts w:ascii="Arial" w:eastAsia="Times New Roman" w:hAnsi="Arial" w:cs="Arial"/>
                <w:i/>
                <w:color w:val="000000"/>
                <w:sz w:val="17"/>
                <w:szCs w:val="17"/>
              </w:rPr>
              <w:t xml:space="preserve">note: CPE courses developed by the Center for Hispanic and </w:t>
            </w:r>
            <w:proofErr w:type="spellStart"/>
            <w:r w:rsidRPr="00921370">
              <w:rPr>
                <w:rFonts w:ascii="Arial" w:eastAsia="Times New Roman" w:hAnsi="Arial" w:cs="Arial"/>
                <w:i/>
                <w:color w:val="000000"/>
                <w:sz w:val="17"/>
                <w:szCs w:val="17"/>
              </w:rPr>
              <w:t>Latinx</w:t>
            </w:r>
            <w:proofErr w:type="spellEnd"/>
            <w:r w:rsidRPr="00921370">
              <w:rPr>
                <w:rFonts w:ascii="Arial" w:eastAsia="Times New Roman" w:hAnsi="Arial" w:cs="Arial"/>
                <w:i/>
                <w:color w:val="000000"/>
                <w:sz w:val="17"/>
                <w:szCs w:val="17"/>
              </w:rPr>
              <w:t xml:space="preserve"> Studies or the Center for Modern Languages and Cultures will count here as well</w:t>
            </w:r>
          </w:p>
        </w:tc>
      </w:tr>
      <w:tr w:rsidR="00120914" w:rsidRPr="00921370" w14:paraId="6F450C6F" w14:textId="77777777" w:rsidTr="001359B5">
        <w:trPr>
          <w:tblCellSpacing w:w="7" w:type="dxa"/>
        </w:trPr>
        <w:tc>
          <w:tcPr>
            <w:tcW w:w="1509" w:type="dxa"/>
            <w:tcBorders>
              <w:top w:val="outset" w:sz="6" w:space="0" w:color="auto"/>
              <w:left w:val="outset" w:sz="6" w:space="0" w:color="auto"/>
              <w:bottom w:val="outset" w:sz="6" w:space="0" w:color="auto"/>
              <w:right w:val="outset" w:sz="6" w:space="0" w:color="auto"/>
            </w:tcBorders>
            <w:shd w:val="clear" w:color="auto" w:fill="D2D2CB"/>
            <w:tcMar>
              <w:top w:w="0" w:type="dxa"/>
              <w:left w:w="0" w:type="dxa"/>
              <w:bottom w:w="0" w:type="dxa"/>
              <w:right w:w="0" w:type="dxa"/>
            </w:tcMar>
            <w:hideMark/>
          </w:tcPr>
          <w:p w14:paraId="4B4883FE" w14:textId="77777777" w:rsidR="00120914" w:rsidRPr="00921370" w:rsidRDefault="00120914" w:rsidP="001359B5">
            <w:pPr>
              <w:spacing w:line="210" w:lineRule="atLeast"/>
              <w:ind w:left="340" w:hanging="270"/>
              <w:rPr>
                <w:rFonts w:ascii="Arial" w:eastAsia="Times New Roman" w:hAnsi="Arial" w:cs="Arial"/>
                <w:color w:val="000000"/>
                <w:sz w:val="17"/>
                <w:szCs w:val="17"/>
              </w:rPr>
            </w:pPr>
            <w:r w:rsidRPr="00921370">
              <w:rPr>
                <w:rFonts w:ascii="Arial" w:eastAsia="Times New Roman" w:hAnsi="Arial" w:cs="Arial"/>
                <w:color w:val="000000"/>
                <w:sz w:val="17"/>
                <w:szCs w:val="17"/>
              </w:rPr>
              <w:t>CPED</w:t>
            </w:r>
          </w:p>
        </w:tc>
        <w:tc>
          <w:tcPr>
            <w:tcW w:w="6189" w:type="dxa"/>
            <w:tcBorders>
              <w:top w:val="outset" w:sz="6" w:space="0" w:color="auto"/>
              <w:left w:val="outset" w:sz="6" w:space="0" w:color="auto"/>
              <w:bottom w:val="outset" w:sz="6" w:space="0" w:color="auto"/>
              <w:right w:val="outset" w:sz="6" w:space="0" w:color="auto"/>
            </w:tcBorders>
            <w:shd w:val="clear" w:color="auto" w:fill="D2D2CB"/>
            <w:tcMar>
              <w:top w:w="0" w:type="dxa"/>
              <w:left w:w="0" w:type="dxa"/>
              <w:bottom w:w="0" w:type="dxa"/>
              <w:right w:w="0" w:type="dxa"/>
            </w:tcMar>
            <w:hideMark/>
          </w:tcPr>
          <w:p w14:paraId="37FC90A0" w14:textId="77777777" w:rsidR="00120914" w:rsidRPr="00921370" w:rsidRDefault="00120914" w:rsidP="001359B5">
            <w:pPr>
              <w:spacing w:line="210" w:lineRule="atLeast"/>
              <w:ind w:left="340" w:hanging="270"/>
              <w:rPr>
                <w:rFonts w:ascii="Arial" w:eastAsia="Times New Roman" w:hAnsi="Arial" w:cs="Arial"/>
                <w:color w:val="000000"/>
                <w:sz w:val="17"/>
                <w:szCs w:val="17"/>
              </w:rPr>
            </w:pPr>
            <w:r w:rsidRPr="00921370">
              <w:rPr>
                <w:rFonts w:ascii="Arial" w:eastAsia="Times New Roman" w:hAnsi="Arial" w:cs="Arial"/>
                <w:color w:val="000000"/>
                <w:sz w:val="17"/>
                <w:szCs w:val="17"/>
              </w:rPr>
              <w:t>Center of Natural Science/Center of Psychology</w:t>
            </w:r>
          </w:p>
        </w:tc>
      </w:tr>
    </w:tbl>
    <w:p w14:paraId="46FAF503" w14:textId="77777777" w:rsidR="00120914" w:rsidRPr="00921370" w:rsidRDefault="00120914" w:rsidP="00120914">
      <w:pPr>
        <w:rPr>
          <w:rFonts w:ascii="Arial" w:hAnsi="Arial" w:cs="Arial"/>
          <w:sz w:val="22"/>
          <w:szCs w:val="22"/>
        </w:rPr>
      </w:pPr>
    </w:p>
    <w:p w14:paraId="24964324" w14:textId="77777777" w:rsidR="00120914" w:rsidRDefault="00120914" w:rsidP="00120914">
      <w:pPr>
        <w:rPr>
          <w:rFonts w:ascii="Arial" w:hAnsi="Arial" w:cs="Arial"/>
          <w:sz w:val="22"/>
          <w:szCs w:val="22"/>
        </w:rPr>
      </w:pPr>
      <w:r w:rsidRPr="00921370">
        <w:rPr>
          <w:rFonts w:ascii="Arial" w:hAnsi="Arial" w:cs="Arial"/>
          <w:sz w:val="22"/>
          <w:szCs w:val="22"/>
        </w:rPr>
        <w:t>CPE courses may count as Race, Power and Perspective (RPP) courses, Data Analytics (DA) courses, Writing Enriched Curriculum (WEC) courses, Community Based Learning (CBL), or Environmental Sustainability (ES) courses, as long as the instructor successfully pursues that designation appropriately through the Curriculum Committee or other designated body.</w:t>
      </w:r>
    </w:p>
    <w:p w14:paraId="339A87C2" w14:textId="77777777" w:rsidR="00120914" w:rsidRDefault="00120914" w:rsidP="00120914">
      <w:pPr>
        <w:rPr>
          <w:rFonts w:ascii="Arial" w:hAnsi="Arial" w:cs="Arial"/>
          <w:sz w:val="22"/>
          <w:szCs w:val="22"/>
        </w:rPr>
      </w:pPr>
    </w:p>
    <w:p w14:paraId="4A56E27C" w14:textId="77777777" w:rsidR="00120914" w:rsidRPr="00921370" w:rsidRDefault="00120914" w:rsidP="00120914">
      <w:pPr>
        <w:rPr>
          <w:rFonts w:ascii="Arial" w:hAnsi="Arial" w:cs="Arial"/>
          <w:b/>
          <w:sz w:val="22"/>
          <w:szCs w:val="22"/>
        </w:rPr>
      </w:pPr>
      <w:r w:rsidRPr="00921370">
        <w:rPr>
          <w:rFonts w:ascii="Arial" w:hAnsi="Arial" w:cs="Arial"/>
          <w:b/>
          <w:sz w:val="22"/>
          <w:szCs w:val="22"/>
        </w:rPr>
        <w:t>What do faculty building CPE courses need to know and include?</w:t>
      </w:r>
    </w:p>
    <w:p w14:paraId="023B940E" w14:textId="77777777" w:rsidR="00120914" w:rsidRPr="00921370" w:rsidRDefault="00120914" w:rsidP="00120914">
      <w:pPr>
        <w:rPr>
          <w:rFonts w:ascii="Arial" w:hAnsi="Arial" w:cs="Arial"/>
          <w:sz w:val="22"/>
          <w:szCs w:val="22"/>
        </w:rPr>
      </w:pPr>
      <w:r w:rsidRPr="00921370">
        <w:rPr>
          <w:rFonts w:ascii="Arial" w:hAnsi="Arial" w:cs="Arial"/>
          <w:sz w:val="22"/>
          <w:szCs w:val="22"/>
        </w:rPr>
        <w:t xml:space="preserve">CPE courses will facilitate student exploration as well as the development of skills to help understand and address modern topics/problems. In this process, we ask that faculty guide students to:  </w:t>
      </w:r>
    </w:p>
    <w:p w14:paraId="42AB8ADE" w14:textId="77777777" w:rsidR="00120914" w:rsidRPr="00921370" w:rsidRDefault="00120914" w:rsidP="00120914">
      <w:pPr>
        <w:pStyle w:val="ListParagraph"/>
        <w:numPr>
          <w:ilvl w:val="0"/>
          <w:numId w:val="1"/>
        </w:numPr>
        <w:ind w:left="810" w:hanging="270"/>
        <w:rPr>
          <w:rFonts w:ascii="Arial" w:hAnsi="Arial" w:cs="Arial"/>
          <w:sz w:val="22"/>
          <w:szCs w:val="22"/>
        </w:rPr>
      </w:pPr>
      <w:r w:rsidRPr="00921370">
        <w:rPr>
          <w:rFonts w:ascii="Arial" w:hAnsi="Arial" w:cs="Arial"/>
          <w:sz w:val="22"/>
          <w:szCs w:val="22"/>
        </w:rPr>
        <w:t xml:space="preserve">Understand and use approaches and methods from disciplines outside of their major to explore a contemporary topic/problem </w:t>
      </w:r>
    </w:p>
    <w:p w14:paraId="49FB3FD1" w14:textId="77777777" w:rsidR="00120914" w:rsidRPr="00921370" w:rsidRDefault="00120914" w:rsidP="00120914">
      <w:pPr>
        <w:pStyle w:val="ListParagraph"/>
        <w:numPr>
          <w:ilvl w:val="0"/>
          <w:numId w:val="1"/>
        </w:numPr>
        <w:ind w:left="810" w:hanging="270"/>
        <w:rPr>
          <w:rFonts w:ascii="Arial" w:hAnsi="Arial" w:cs="Arial"/>
          <w:sz w:val="22"/>
          <w:szCs w:val="22"/>
        </w:rPr>
      </w:pPr>
      <w:r w:rsidRPr="00921370">
        <w:rPr>
          <w:rFonts w:ascii="Arial" w:hAnsi="Arial" w:cs="Arial"/>
          <w:sz w:val="22"/>
          <w:szCs w:val="22"/>
        </w:rPr>
        <w:t>Reflect on their role in the topic/problem and develop a critical self-awareness of one’s relationship to the matter</w:t>
      </w:r>
    </w:p>
    <w:p w14:paraId="46CC0540" w14:textId="77777777" w:rsidR="00120914" w:rsidRPr="00921370" w:rsidRDefault="00120914" w:rsidP="00120914">
      <w:pPr>
        <w:pStyle w:val="ListParagraph"/>
        <w:numPr>
          <w:ilvl w:val="0"/>
          <w:numId w:val="1"/>
        </w:numPr>
        <w:ind w:left="810" w:hanging="270"/>
        <w:rPr>
          <w:rFonts w:ascii="Arial" w:hAnsi="Arial" w:cs="Arial"/>
          <w:sz w:val="22"/>
          <w:szCs w:val="22"/>
        </w:rPr>
      </w:pPr>
      <w:r w:rsidRPr="00921370">
        <w:rPr>
          <w:rFonts w:ascii="Arial" w:hAnsi="Arial" w:cs="Arial"/>
          <w:sz w:val="22"/>
          <w:szCs w:val="22"/>
        </w:rPr>
        <w:t>Learn how others may have distinct relationships with the problem and understand that others have their own process to go through in determining their place with the topic/problem</w:t>
      </w:r>
    </w:p>
    <w:p w14:paraId="1BF2374D" w14:textId="77777777" w:rsidR="00120914" w:rsidRPr="00921370" w:rsidRDefault="00120914" w:rsidP="00120914">
      <w:pPr>
        <w:pStyle w:val="ListParagraph"/>
        <w:numPr>
          <w:ilvl w:val="0"/>
          <w:numId w:val="1"/>
        </w:numPr>
        <w:ind w:left="810" w:hanging="270"/>
        <w:rPr>
          <w:rFonts w:ascii="Arial" w:hAnsi="Arial" w:cs="Arial"/>
          <w:sz w:val="22"/>
          <w:szCs w:val="22"/>
        </w:rPr>
      </w:pPr>
      <w:r w:rsidRPr="00921370">
        <w:rPr>
          <w:rFonts w:ascii="Arial" w:hAnsi="Arial" w:cs="Arial"/>
          <w:sz w:val="22"/>
          <w:szCs w:val="22"/>
        </w:rPr>
        <w:t>Formulate meaningful questions about the topic/problem</w:t>
      </w:r>
    </w:p>
    <w:p w14:paraId="364050A7" w14:textId="77777777" w:rsidR="00120914" w:rsidRPr="00921370" w:rsidRDefault="00120914" w:rsidP="00120914">
      <w:pPr>
        <w:pStyle w:val="ListParagraph"/>
        <w:numPr>
          <w:ilvl w:val="0"/>
          <w:numId w:val="1"/>
        </w:numPr>
        <w:ind w:left="810" w:hanging="270"/>
        <w:rPr>
          <w:rFonts w:ascii="Arial" w:hAnsi="Arial" w:cs="Arial"/>
          <w:sz w:val="22"/>
          <w:szCs w:val="22"/>
        </w:rPr>
      </w:pPr>
      <w:r w:rsidRPr="00921370">
        <w:rPr>
          <w:rFonts w:ascii="Arial" w:hAnsi="Arial" w:cs="Arial"/>
          <w:sz w:val="22"/>
          <w:szCs w:val="22"/>
        </w:rPr>
        <w:t>Work with others in the direction of a solution/imagining paths forward</w:t>
      </w:r>
    </w:p>
    <w:p w14:paraId="5C62DBAD" w14:textId="77777777" w:rsidR="00120914" w:rsidRPr="00921370" w:rsidRDefault="00120914" w:rsidP="00120914">
      <w:pPr>
        <w:pStyle w:val="ListParagraph"/>
        <w:numPr>
          <w:ilvl w:val="0"/>
          <w:numId w:val="1"/>
        </w:numPr>
        <w:ind w:left="810" w:hanging="270"/>
        <w:rPr>
          <w:rFonts w:ascii="Arial" w:hAnsi="Arial" w:cs="Arial"/>
          <w:sz w:val="22"/>
          <w:szCs w:val="22"/>
        </w:rPr>
      </w:pPr>
      <w:r w:rsidRPr="00921370">
        <w:rPr>
          <w:rFonts w:ascii="Arial" w:hAnsi="Arial" w:cs="Arial"/>
          <w:sz w:val="22"/>
          <w:szCs w:val="22"/>
        </w:rPr>
        <w:t>Create a piece of work</w:t>
      </w:r>
      <w:r>
        <w:rPr>
          <w:rFonts w:ascii="Arial" w:hAnsi="Arial" w:cs="Arial"/>
          <w:sz w:val="22"/>
          <w:szCs w:val="22"/>
        </w:rPr>
        <w:t xml:space="preserve"> that will go into their </w:t>
      </w:r>
      <w:proofErr w:type="spellStart"/>
      <w:r>
        <w:rPr>
          <w:rFonts w:ascii="Arial" w:hAnsi="Arial" w:cs="Arial"/>
          <w:sz w:val="22"/>
          <w:szCs w:val="22"/>
        </w:rPr>
        <w:t>eP</w:t>
      </w:r>
      <w:r w:rsidRPr="00921370">
        <w:rPr>
          <w:rFonts w:ascii="Arial" w:hAnsi="Arial" w:cs="Arial"/>
          <w:sz w:val="22"/>
          <w:szCs w:val="22"/>
        </w:rPr>
        <w:t>ortfolio</w:t>
      </w:r>
      <w:proofErr w:type="spellEnd"/>
      <w:r w:rsidRPr="00921370">
        <w:rPr>
          <w:rFonts w:ascii="Arial" w:hAnsi="Arial" w:cs="Arial"/>
          <w:sz w:val="22"/>
          <w:szCs w:val="22"/>
        </w:rPr>
        <w:t>, particularly addressing the campus-wide outcome “</w:t>
      </w:r>
      <w:r w:rsidRPr="00921370">
        <w:rPr>
          <w:rFonts w:ascii="Arial" w:hAnsi="Arial" w:cs="Arial"/>
          <w:b/>
          <w:bCs/>
          <w:sz w:val="22"/>
          <w:szCs w:val="22"/>
        </w:rPr>
        <w:t xml:space="preserve">Collaborate </w:t>
      </w:r>
      <w:r w:rsidRPr="003A6CB0">
        <w:rPr>
          <w:rFonts w:ascii="Arial" w:hAnsi="Arial" w:cs="Arial"/>
          <w:bCs/>
          <w:sz w:val="22"/>
          <w:szCs w:val="22"/>
        </w:rPr>
        <w:t>with others</w:t>
      </w:r>
      <w:r w:rsidRPr="00921370">
        <w:rPr>
          <w:rFonts w:ascii="Arial" w:hAnsi="Arial" w:cs="Arial"/>
          <w:sz w:val="22"/>
          <w:szCs w:val="22"/>
        </w:rPr>
        <w:t xml:space="preserve">, including those not like themselves, to bring to bear multiple disciplinary perspectives employing various modes of communication.” The piece of work can be a traditional display of learning (paper, </w:t>
      </w:r>
      <w:r w:rsidRPr="00921370">
        <w:rPr>
          <w:rFonts w:ascii="Arial" w:hAnsi="Arial" w:cs="Arial"/>
          <w:sz w:val="22"/>
          <w:szCs w:val="22"/>
        </w:rPr>
        <w:lastRenderedPageBreak/>
        <w:t>poster, presentation), but other demonstrations of learning are also encouraged (videos, performances, creative pieces, apps, websites, etc.).</w:t>
      </w:r>
    </w:p>
    <w:p w14:paraId="579260DA" w14:textId="77777777" w:rsidR="00120914" w:rsidRPr="00921370" w:rsidRDefault="00120914" w:rsidP="00120914">
      <w:pPr>
        <w:pStyle w:val="ListParagraph"/>
        <w:ind w:left="1440"/>
        <w:rPr>
          <w:rFonts w:ascii="Arial" w:hAnsi="Arial" w:cs="Arial"/>
          <w:sz w:val="22"/>
          <w:szCs w:val="22"/>
        </w:rPr>
      </w:pPr>
    </w:p>
    <w:p w14:paraId="259A5F57" w14:textId="77777777" w:rsidR="00120914" w:rsidRPr="00921370" w:rsidRDefault="00120914" w:rsidP="00120914">
      <w:pPr>
        <w:rPr>
          <w:rFonts w:ascii="Arial" w:hAnsi="Arial" w:cs="Arial"/>
          <w:sz w:val="22"/>
          <w:szCs w:val="22"/>
        </w:rPr>
      </w:pPr>
      <w:r w:rsidRPr="00921370">
        <w:rPr>
          <w:rFonts w:ascii="Arial" w:hAnsi="Arial" w:cs="Arial"/>
          <w:sz w:val="22"/>
          <w:szCs w:val="22"/>
        </w:rPr>
        <w:t xml:space="preserve">CPE courses </w:t>
      </w:r>
      <w:r>
        <w:rPr>
          <w:rFonts w:ascii="Arial" w:hAnsi="Arial" w:cs="Arial"/>
          <w:sz w:val="22"/>
          <w:szCs w:val="22"/>
        </w:rPr>
        <w:t xml:space="preserve">and faculty </w:t>
      </w:r>
      <w:r w:rsidRPr="00921370">
        <w:rPr>
          <w:rFonts w:ascii="Arial" w:hAnsi="Arial" w:cs="Arial"/>
          <w:sz w:val="22"/>
          <w:szCs w:val="22"/>
        </w:rPr>
        <w:t xml:space="preserve">will be expected to embrace particular pedagogies that are shown to increase student engagement and success. CPE courses should: </w:t>
      </w:r>
    </w:p>
    <w:p w14:paraId="2E4865C6" w14:textId="77777777" w:rsidR="00120914" w:rsidRPr="00921370" w:rsidRDefault="00120914" w:rsidP="00120914">
      <w:pPr>
        <w:pStyle w:val="ListParagraph"/>
        <w:numPr>
          <w:ilvl w:val="0"/>
          <w:numId w:val="2"/>
        </w:numPr>
        <w:ind w:left="810" w:hanging="270"/>
        <w:rPr>
          <w:rFonts w:ascii="Arial" w:hAnsi="Arial" w:cs="Arial"/>
          <w:sz w:val="22"/>
          <w:szCs w:val="22"/>
        </w:rPr>
      </w:pPr>
      <w:r w:rsidRPr="00921370">
        <w:rPr>
          <w:rFonts w:ascii="Arial" w:hAnsi="Arial" w:cs="Arial"/>
          <w:sz w:val="22"/>
          <w:szCs w:val="22"/>
        </w:rPr>
        <w:t>Be project and/or problem-based</w:t>
      </w:r>
      <w:r>
        <w:rPr>
          <w:rStyle w:val="EndnoteReference"/>
          <w:rFonts w:ascii="Arial" w:hAnsi="Arial" w:cs="Arial"/>
          <w:sz w:val="22"/>
          <w:szCs w:val="22"/>
        </w:rPr>
        <w:endnoteReference w:id="1"/>
      </w:r>
      <w:r>
        <w:rPr>
          <w:rStyle w:val="EndnoteReference"/>
          <w:rFonts w:ascii="Arial" w:hAnsi="Arial" w:cs="Arial"/>
          <w:sz w:val="22"/>
          <w:szCs w:val="22"/>
        </w:rPr>
        <w:endnoteReference w:id="2"/>
      </w:r>
      <w:r>
        <w:rPr>
          <w:rStyle w:val="EndnoteReference"/>
          <w:rFonts w:ascii="Arial" w:hAnsi="Arial" w:cs="Arial"/>
          <w:sz w:val="22"/>
          <w:szCs w:val="22"/>
        </w:rPr>
        <w:endnoteReference w:id="3"/>
      </w:r>
      <w:r w:rsidRPr="00921370">
        <w:rPr>
          <w:rFonts w:ascii="Arial" w:hAnsi="Arial" w:cs="Arial"/>
          <w:sz w:val="22"/>
          <w:szCs w:val="22"/>
        </w:rPr>
        <w:t xml:space="preserve"> </w:t>
      </w:r>
    </w:p>
    <w:p w14:paraId="2A751640" w14:textId="77777777" w:rsidR="00120914" w:rsidRPr="00921370" w:rsidRDefault="00120914" w:rsidP="00120914">
      <w:pPr>
        <w:pStyle w:val="ListParagraph"/>
        <w:numPr>
          <w:ilvl w:val="0"/>
          <w:numId w:val="2"/>
        </w:numPr>
        <w:ind w:left="810" w:hanging="270"/>
        <w:rPr>
          <w:rFonts w:ascii="Arial" w:hAnsi="Arial" w:cs="Arial"/>
          <w:sz w:val="22"/>
          <w:szCs w:val="22"/>
        </w:rPr>
      </w:pPr>
      <w:r w:rsidRPr="00921370">
        <w:rPr>
          <w:rFonts w:ascii="Arial" w:hAnsi="Arial" w:cs="Arial"/>
          <w:sz w:val="22"/>
          <w:szCs w:val="22"/>
        </w:rPr>
        <w:t>Be interdisciplinary in terms of methods/lenses students will be exposed to as well as content</w:t>
      </w:r>
      <w:r>
        <w:rPr>
          <w:rStyle w:val="EndnoteReference"/>
          <w:rFonts w:ascii="Arial" w:hAnsi="Arial" w:cs="Arial"/>
          <w:sz w:val="22"/>
          <w:szCs w:val="22"/>
        </w:rPr>
        <w:endnoteReference w:id="4"/>
      </w:r>
      <w:r>
        <w:rPr>
          <w:rStyle w:val="EndnoteReference"/>
          <w:rFonts w:ascii="Arial" w:hAnsi="Arial" w:cs="Arial"/>
          <w:sz w:val="22"/>
          <w:szCs w:val="22"/>
        </w:rPr>
        <w:endnoteReference w:id="5"/>
      </w:r>
      <w:r>
        <w:rPr>
          <w:rStyle w:val="EndnoteReference"/>
          <w:rFonts w:ascii="Arial" w:hAnsi="Arial" w:cs="Arial"/>
          <w:sz w:val="22"/>
          <w:szCs w:val="22"/>
        </w:rPr>
        <w:endnoteReference w:id="6"/>
      </w:r>
    </w:p>
    <w:p w14:paraId="68E36D5D" w14:textId="77777777" w:rsidR="00120914" w:rsidRPr="00921370" w:rsidRDefault="00120914" w:rsidP="00120914">
      <w:pPr>
        <w:pStyle w:val="ListParagraph"/>
        <w:numPr>
          <w:ilvl w:val="0"/>
          <w:numId w:val="2"/>
        </w:numPr>
        <w:ind w:left="810" w:hanging="270"/>
        <w:rPr>
          <w:rFonts w:ascii="Arial" w:hAnsi="Arial" w:cs="Arial"/>
          <w:sz w:val="22"/>
          <w:szCs w:val="22"/>
        </w:rPr>
      </w:pPr>
      <w:r w:rsidRPr="00921370">
        <w:rPr>
          <w:rFonts w:ascii="Arial" w:hAnsi="Arial" w:cs="Arial"/>
          <w:sz w:val="22"/>
          <w:szCs w:val="22"/>
        </w:rPr>
        <w:t>Facilitate student agency in learning</w:t>
      </w:r>
      <w:r>
        <w:rPr>
          <w:rStyle w:val="EndnoteReference"/>
          <w:rFonts w:ascii="Arial" w:hAnsi="Arial" w:cs="Arial"/>
          <w:sz w:val="22"/>
          <w:szCs w:val="22"/>
        </w:rPr>
        <w:endnoteReference w:id="7"/>
      </w:r>
      <w:r>
        <w:rPr>
          <w:rStyle w:val="EndnoteReference"/>
          <w:rFonts w:ascii="Arial" w:hAnsi="Arial" w:cs="Arial"/>
          <w:sz w:val="22"/>
          <w:szCs w:val="22"/>
        </w:rPr>
        <w:endnoteReference w:id="8"/>
      </w:r>
    </w:p>
    <w:p w14:paraId="77E77A00" w14:textId="77777777" w:rsidR="00120914" w:rsidRPr="00921370" w:rsidRDefault="00120914" w:rsidP="00120914">
      <w:pPr>
        <w:pStyle w:val="ListParagraph"/>
        <w:numPr>
          <w:ilvl w:val="0"/>
          <w:numId w:val="2"/>
        </w:numPr>
        <w:ind w:left="810" w:hanging="270"/>
        <w:rPr>
          <w:rFonts w:ascii="Arial" w:hAnsi="Arial" w:cs="Arial"/>
          <w:sz w:val="22"/>
          <w:szCs w:val="22"/>
        </w:rPr>
      </w:pPr>
      <w:r w:rsidRPr="00921370">
        <w:rPr>
          <w:rFonts w:ascii="Arial" w:hAnsi="Arial" w:cs="Arial"/>
          <w:sz w:val="22"/>
          <w:szCs w:val="22"/>
        </w:rPr>
        <w:t xml:space="preserve">Include </w:t>
      </w:r>
      <w:proofErr w:type="spellStart"/>
      <w:r w:rsidRPr="00921370">
        <w:rPr>
          <w:rFonts w:ascii="Arial" w:hAnsi="Arial" w:cs="Arial"/>
          <w:sz w:val="22"/>
          <w:szCs w:val="22"/>
        </w:rPr>
        <w:t>scaffolded</w:t>
      </w:r>
      <w:proofErr w:type="spellEnd"/>
      <w:r w:rsidRPr="00921370">
        <w:rPr>
          <w:rFonts w:ascii="Arial" w:hAnsi="Arial" w:cs="Arial"/>
          <w:sz w:val="22"/>
          <w:szCs w:val="22"/>
        </w:rPr>
        <w:t xml:space="preserve"> assignments that have a clearly articulated purpose, set of instructions and criteria for evaluation</w:t>
      </w:r>
      <w:r>
        <w:rPr>
          <w:rStyle w:val="EndnoteReference"/>
          <w:rFonts w:ascii="Arial" w:hAnsi="Arial" w:cs="Arial"/>
          <w:sz w:val="22"/>
          <w:szCs w:val="22"/>
        </w:rPr>
        <w:endnoteReference w:id="9"/>
      </w:r>
      <w:r>
        <w:rPr>
          <w:rStyle w:val="EndnoteReference"/>
          <w:rFonts w:ascii="Arial" w:hAnsi="Arial" w:cs="Arial"/>
          <w:sz w:val="22"/>
          <w:szCs w:val="22"/>
        </w:rPr>
        <w:endnoteReference w:id="10"/>
      </w:r>
      <w:r>
        <w:rPr>
          <w:rStyle w:val="EndnoteReference"/>
          <w:rFonts w:ascii="Arial" w:hAnsi="Arial" w:cs="Arial"/>
          <w:sz w:val="22"/>
          <w:szCs w:val="22"/>
        </w:rPr>
        <w:endnoteReference w:id="11"/>
      </w:r>
      <w:r>
        <w:rPr>
          <w:rStyle w:val="EndnoteReference"/>
          <w:rFonts w:ascii="Arial" w:hAnsi="Arial" w:cs="Arial"/>
          <w:sz w:val="22"/>
          <w:szCs w:val="22"/>
        </w:rPr>
        <w:endnoteReference w:id="12"/>
      </w:r>
      <w:r w:rsidRPr="00921370">
        <w:rPr>
          <w:rFonts w:ascii="Arial" w:hAnsi="Arial" w:cs="Arial"/>
          <w:sz w:val="22"/>
          <w:szCs w:val="22"/>
        </w:rPr>
        <w:t xml:space="preserve"> </w:t>
      </w:r>
    </w:p>
    <w:p w14:paraId="06403D73" w14:textId="77777777" w:rsidR="00120914" w:rsidRPr="00921370" w:rsidRDefault="00120914" w:rsidP="00120914">
      <w:pPr>
        <w:pStyle w:val="ListParagraph"/>
        <w:numPr>
          <w:ilvl w:val="0"/>
          <w:numId w:val="2"/>
        </w:numPr>
        <w:ind w:left="810" w:hanging="270"/>
        <w:rPr>
          <w:rFonts w:ascii="Arial" w:hAnsi="Arial" w:cs="Arial"/>
          <w:sz w:val="22"/>
          <w:szCs w:val="22"/>
        </w:rPr>
      </w:pPr>
      <w:r w:rsidRPr="00921370">
        <w:rPr>
          <w:rFonts w:ascii="Arial" w:hAnsi="Arial" w:cs="Arial"/>
          <w:sz w:val="22"/>
          <w:szCs w:val="22"/>
        </w:rPr>
        <w:t>Build a sense of community among the class</w:t>
      </w:r>
      <w:r>
        <w:rPr>
          <w:rStyle w:val="EndnoteReference"/>
          <w:rFonts w:ascii="Arial" w:hAnsi="Arial" w:cs="Arial"/>
          <w:sz w:val="22"/>
          <w:szCs w:val="22"/>
        </w:rPr>
        <w:endnoteReference w:id="13"/>
      </w:r>
      <w:r>
        <w:rPr>
          <w:rStyle w:val="EndnoteReference"/>
          <w:rFonts w:ascii="Arial" w:hAnsi="Arial" w:cs="Arial"/>
          <w:sz w:val="22"/>
          <w:szCs w:val="22"/>
        </w:rPr>
        <w:endnoteReference w:id="14"/>
      </w:r>
      <w:r>
        <w:rPr>
          <w:rStyle w:val="EndnoteReference"/>
          <w:rFonts w:ascii="Arial" w:hAnsi="Arial" w:cs="Arial"/>
          <w:sz w:val="22"/>
          <w:szCs w:val="22"/>
        </w:rPr>
        <w:endnoteReference w:id="15"/>
      </w:r>
      <w:r>
        <w:rPr>
          <w:rStyle w:val="EndnoteReference"/>
          <w:rFonts w:ascii="Arial" w:hAnsi="Arial" w:cs="Arial"/>
          <w:sz w:val="22"/>
          <w:szCs w:val="22"/>
        </w:rPr>
        <w:endnoteReference w:id="16"/>
      </w:r>
      <w:r>
        <w:rPr>
          <w:rFonts w:ascii="Arial" w:hAnsi="Arial" w:cs="Arial"/>
          <w:sz w:val="22"/>
          <w:szCs w:val="22"/>
        </w:rPr>
        <w:t xml:space="preserve"> </w:t>
      </w:r>
    </w:p>
    <w:p w14:paraId="69822A89" w14:textId="77777777" w:rsidR="00120914" w:rsidRPr="000F40B7" w:rsidRDefault="00120914" w:rsidP="00120914">
      <w:pPr>
        <w:pStyle w:val="ListParagraph"/>
        <w:numPr>
          <w:ilvl w:val="0"/>
          <w:numId w:val="2"/>
        </w:numPr>
        <w:ind w:left="810" w:hanging="270"/>
        <w:rPr>
          <w:rFonts w:ascii="Arial" w:hAnsi="Arial" w:cs="Arial"/>
        </w:rPr>
      </w:pPr>
      <w:r w:rsidRPr="000F40B7">
        <w:rPr>
          <w:rFonts w:ascii="Arial" w:hAnsi="Arial" w:cs="Arial"/>
          <w:sz w:val="22"/>
          <w:szCs w:val="22"/>
        </w:rPr>
        <w:t>Include collaboration</w:t>
      </w:r>
      <w:r>
        <w:rPr>
          <w:rStyle w:val="EndnoteReference"/>
          <w:rFonts w:ascii="Arial" w:hAnsi="Arial" w:cs="Arial"/>
          <w:sz w:val="22"/>
          <w:szCs w:val="22"/>
        </w:rPr>
        <w:endnoteReference w:id="17"/>
      </w:r>
      <w:r>
        <w:rPr>
          <w:rStyle w:val="EndnoteReference"/>
          <w:rFonts w:ascii="Arial" w:hAnsi="Arial" w:cs="Arial"/>
          <w:sz w:val="22"/>
          <w:szCs w:val="22"/>
        </w:rPr>
        <w:endnoteReference w:id="18"/>
      </w:r>
      <w:r>
        <w:rPr>
          <w:rStyle w:val="EndnoteReference"/>
          <w:rFonts w:ascii="Arial" w:hAnsi="Arial" w:cs="Arial"/>
          <w:sz w:val="22"/>
          <w:szCs w:val="22"/>
        </w:rPr>
        <w:endnoteReference w:id="19"/>
      </w:r>
      <w:r>
        <w:rPr>
          <w:rStyle w:val="EndnoteReference"/>
          <w:rFonts w:ascii="Arial" w:hAnsi="Arial" w:cs="Arial"/>
          <w:sz w:val="22"/>
          <w:szCs w:val="22"/>
        </w:rPr>
        <w:endnoteReference w:id="20"/>
      </w:r>
      <w:r w:rsidRPr="000F40B7">
        <w:rPr>
          <w:rFonts w:ascii="Arial" w:hAnsi="Arial" w:cs="Arial"/>
          <w:sz w:val="22"/>
          <w:szCs w:val="22"/>
        </w:rPr>
        <w:t xml:space="preserve"> </w:t>
      </w:r>
    </w:p>
    <w:p w14:paraId="41A6A7BB" w14:textId="77777777" w:rsidR="00120914" w:rsidRPr="000F40B7" w:rsidRDefault="00120914" w:rsidP="00120914">
      <w:pPr>
        <w:pStyle w:val="ListParagraph"/>
        <w:ind w:left="810"/>
        <w:rPr>
          <w:rFonts w:ascii="Arial" w:hAnsi="Arial" w:cs="Arial"/>
        </w:rPr>
      </w:pPr>
    </w:p>
    <w:p w14:paraId="317D823B" w14:textId="77777777" w:rsidR="00120914" w:rsidRPr="00921370" w:rsidRDefault="00120914" w:rsidP="00120914">
      <w:pPr>
        <w:rPr>
          <w:rFonts w:ascii="Arial" w:hAnsi="Arial" w:cs="Arial"/>
          <w:b/>
        </w:rPr>
      </w:pPr>
      <w:r w:rsidRPr="00921370">
        <w:rPr>
          <w:rFonts w:ascii="Arial" w:hAnsi="Arial" w:cs="Arial"/>
          <w:b/>
        </w:rPr>
        <w:t xml:space="preserve">How are CPE courses developed? </w:t>
      </w:r>
    </w:p>
    <w:p w14:paraId="36F9EE58" w14:textId="77777777" w:rsidR="00120914" w:rsidRPr="00921370" w:rsidRDefault="00120914" w:rsidP="00120914">
      <w:pPr>
        <w:rPr>
          <w:rFonts w:ascii="Arial" w:hAnsi="Arial" w:cs="Arial"/>
          <w:sz w:val="22"/>
          <w:szCs w:val="22"/>
        </w:rPr>
      </w:pPr>
      <w:r w:rsidRPr="00921370">
        <w:rPr>
          <w:rFonts w:ascii="Arial" w:hAnsi="Arial" w:cs="Arial"/>
          <w:sz w:val="22"/>
          <w:szCs w:val="22"/>
        </w:rPr>
        <w:t xml:space="preserve">Courses may be taught as individuals or as teams. Those that elect to team-teach a course must each be directly responsible for their own classroom/cohort of students (a team of 2 could team-teach two sections of students or team teach a single section of ~40 students, a team of 3 could team-teach three sections of students).  This is necessary for the financial viability of these courses. </w:t>
      </w:r>
    </w:p>
    <w:p w14:paraId="2D3988CD" w14:textId="77777777" w:rsidR="00120914" w:rsidRDefault="00120914" w:rsidP="00120914">
      <w:pPr>
        <w:rPr>
          <w:rFonts w:ascii="Arial" w:hAnsi="Arial" w:cs="Arial"/>
          <w:sz w:val="22"/>
          <w:szCs w:val="22"/>
        </w:rPr>
      </w:pPr>
    </w:p>
    <w:p w14:paraId="1341EA5B" w14:textId="77777777" w:rsidR="00120914" w:rsidRPr="00921370" w:rsidRDefault="00120914" w:rsidP="00120914">
      <w:pPr>
        <w:rPr>
          <w:rFonts w:ascii="Arial" w:hAnsi="Arial" w:cs="Arial"/>
          <w:sz w:val="22"/>
          <w:szCs w:val="22"/>
        </w:rPr>
      </w:pPr>
      <w:r w:rsidRPr="00921370">
        <w:rPr>
          <w:rFonts w:ascii="Arial" w:hAnsi="Arial" w:cs="Arial"/>
          <w:sz w:val="22"/>
          <w:szCs w:val="22"/>
        </w:rPr>
        <w:t xml:space="preserve">Courses will be developed in teams. All CPE courses, regardless of whether they will be taught by an individual or a team, must be constructed with significant input from a faculty member outside of the teaching faculty’s discipline.  This advisory faculty member may simply consult on the course and never teach it, could teach an additional section of the course simultaneous to their fellow course developer, or could teach the course alternate semesters/years to their fellow course developer.  </w:t>
      </w:r>
    </w:p>
    <w:p w14:paraId="62C85C47" w14:textId="77777777" w:rsidR="00120914" w:rsidRPr="00921370" w:rsidRDefault="00120914" w:rsidP="00120914">
      <w:pPr>
        <w:rPr>
          <w:rFonts w:ascii="Arial" w:hAnsi="Arial" w:cs="Arial"/>
        </w:rPr>
      </w:pPr>
    </w:p>
    <w:p w14:paraId="3B890AFA" w14:textId="77777777" w:rsidR="00120914" w:rsidRDefault="00120914" w:rsidP="00120914">
      <w:pPr>
        <w:rPr>
          <w:rFonts w:ascii="Arial" w:hAnsi="Arial" w:cs="Arial"/>
        </w:rPr>
      </w:pPr>
      <w:r>
        <w:rPr>
          <w:rFonts w:ascii="Arial" w:hAnsi="Arial" w:cs="Arial"/>
        </w:rPr>
        <w:t xml:space="preserve">Applications to develop CPE courses will be submitted to the Center for the Advancement of Scholarship and Teaching (CAST). The CAST director will send applications and recommendations to the Curriculum Committee for approval. </w:t>
      </w:r>
    </w:p>
    <w:p w14:paraId="1376E3FA" w14:textId="77777777" w:rsidR="00F33393" w:rsidRDefault="00F33393"/>
    <w:sectPr w:rsidR="00F33393" w:rsidSect="007467B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DA14E" w14:textId="77777777" w:rsidR="0046352F" w:rsidRDefault="0046352F" w:rsidP="00120914">
      <w:r>
        <w:separator/>
      </w:r>
    </w:p>
  </w:endnote>
  <w:endnote w:type="continuationSeparator" w:id="0">
    <w:p w14:paraId="10639870" w14:textId="77777777" w:rsidR="0046352F" w:rsidRDefault="0046352F" w:rsidP="00120914">
      <w:r>
        <w:continuationSeparator/>
      </w:r>
    </w:p>
  </w:endnote>
  <w:endnote w:id="1">
    <w:p w14:paraId="6C0C7A93" w14:textId="77777777" w:rsidR="00120914" w:rsidRPr="0007012C" w:rsidRDefault="00120914" w:rsidP="00120914">
      <w:pPr>
        <w:rPr>
          <w:rFonts w:ascii="Arial" w:eastAsia="Times New Roman" w:hAnsi="Arial" w:cs="Arial"/>
          <w:sz w:val="20"/>
          <w:szCs w:val="20"/>
        </w:rPr>
      </w:pPr>
      <w:r>
        <w:rPr>
          <w:rStyle w:val="EndnoteReference"/>
        </w:rPr>
        <w:endnoteRef/>
      </w:r>
      <w:r>
        <w:t xml:space="preserve"> </w:t>
      </w:r>
      <w:r w:rsidRPr="00F30AE4">
        <w:rPr>
          <w:rFonts w:ascii="Arial" w:eastAsia="Times New Roman" w:hAnsi="Arial" w:cs="Arial"/>
          <w:sz w:val="20"/>
          <w:szCs w:val="20"/>
        </w:rPr>
        <w:t xml:space="preserve">Barrows, H. S., &amp; Tamblyn, R. M. (1980). </w:t>
      </w:r>
      <w:r w:rsidRPr="00F30AE4">
        <w:rPr>
          <w:rFonts w:ascii="Arial" w:eastAsia="Times New Roman" w:hAnsi="Arial" w:cs="Arial"/>
          <w:i/>
          <w:iCs/>
          <w:sz w:val="20"/>
          <w:szCs w:val="20"/>
        </w:rPr>
        <w:t>Problem-based learning: An approach to medical education</w:t>
      </w:r>
      <w:r w:rsidRPr="00F30AE4">
        <w:rPr>
          <w:rFonts w:ascii="Arial" w:eastAsia="Times New Roman" w:hAnsi="Arial" w:cs="Arial"/>
          <w:sz w:val="20"/>
          <w:szCs w:val="20"/>
        </w:rPr>
        <w:t>. Springer Publishing Company.</w:t>
      </w:r>
    </w:p>
  </w:endnote>
  <w:endnote w:id="2">
    <w:p w14:paraId="35C75B2E" w14:textId="77777777" w:rsidR="00120914" w:rsidRDefault="00120914" w:rsidP="00120914">
      <w:pPr>
        <w:pStyle w:val="EndnoteText"/>
      </w:pPr>
      <w:r>
        <w:rPr>
          <w:rStyle w:val="EndnoteReference"/>
        </w:rPr>
        <w:endnoteRef/>
      </w:r>
      <w:r>
        <w:t xml:space="preserve"> </w:t>
      </w:r>
      <w:proofErr w:type="spellStart"/>
      <w:r w:rsidRPr="00F30AE4">
        <w:rPr>
          <w:rFonts w:ascii="Arial" w:eastAsia="Times New Roman" w:hAnsi="Arial" w:cs="Arial"/>
          <w:sz w:val="20"/>
          <w:szCs w:val="20"/>
        </w:rPr>
        <w:t>Duch</w:t>
      </w:r>
      <w:proofErr w:type="spellEnd"/>
      <w:r w:rsidRPr="00F30AE4">
        <w:rPr>
          <w:rFonts w:ascii="Arial" w:eastAsia="Times New Roman" w:hAnsi="Arial" w:cs="Arial"/>
          <w:sz w:val="20"/>
          <w:szCs w:val="20"/>
        </w:rPr>
        <w:t xml:space="preserve">, B. J., Groh, S. E., &amp; Allen, D. E. (2001). </w:t>
      </w:r>
      <w:r w:rsidRPr="00F30AE4">
        <w:rPr>
          <w:rFonts w:ascii="Arial" w:eastAsia="Times New Roman" w:hAnsi="Arial" w:cs="Arial"/>
          <w:i/>
          <w:iCs/>
          <w:sz w:val="20"/>
          <w:szCs w:val="20"/>
        </w:rPr>
        <w:t>The power of problem-based learning: a practical" how to" for teaching undergraduate courses in any discipline</w:t>
      </w:r>
      <w:r w:rsidRPr="00F30AE4">
        <w:rPr>
          <w:rFonts w:ascii="Arial" w:eastAsia="Times New Roman" w:hAnsi="Arial" w:cs="Arial"/>
          <w:sz w:val="20"/>
          <w:szCs w:val="20"/>
        </w:rPr>
        <w:t>. Stylus Publishing, LLC.</w:t>
      </w:r>
    </w:p>
  </w:endnote>
  <w:endnote w:id="3">
    <w:p w14:paraId="3C01BE44" w14:textId="77777777" w:rsidR="00120914" w:rsidRPr="0007012C" w:rsidRDefault="00120914" w:rsidP="00120914">
      <w:pPr>
        <w:rPr>
          <w:rFonts w:ascii="Arial" w:eastAsia="Times New Roman" w:hAnsi="Arial" w:cs="Arial"/>
          <w:sz w:val="20"/>
          <w:szCs w:val="20"/>
        </w:rPr>
      </w:pPr>
      <w:r>
        <w:rPr>
          <w:rStyle w:val="EndnoteReference"/>
        </w:rPr>
        <w:endnoteRef/>
      </w:r>
      <w:r>
        <w:t xml:space="preserve"> </w:t>
      </w:r>
      <w:proofErr w:type="spellStart"/>
      <w:r w:rsidRPr="00F30AE4">
        <w:rPr>
          <w:rFonts w:ascii="Arial" w:eastAsia="Times New Roman" w:hAnsi="Arial" w:cs="Arial"/>
          <w:sz w:val="20"/>
          <w:szCs w:val="20"/>
        </w:rPr>
        <w:t>Nilson</w:t>
      </w:r>
      <w:proofErr w:type="spellEnd"/>
      <w:r w:rsidRPr="00F30AE4">
        <w:rPr>
          <w:rFonts w:ascii="Arial" w:eastAsia="Times New Roman" w:hAnsi="Arial" w:cs="Arial"/>
          <w:sz w:val="20"/>
          <w:szCs w:val="20"/>
        </w:rPr>
        <w:t xml:space="preserve">, L. B. (2016). </w:t>
      </w:r>
      <w:r w:rsidRPr="00F30AE4">
        <w:rPr>
          <w:rFonts w:ascii="Arial" w:eastAsia="Times New Roman" w:hAnsi="Arial" w:cs="Arial"/>
          <w:i/>
          <w:iCs/>
          <w:sz w:val="20"/>
          <w:szCs w:val="20"/>
        </w:rPr>
        <w:t>Teaching at its best: A research-based resource for college instructors</w:t>
      </w:r>
      <w:r w:rsidRPr="00F30AE4">
        <w:rPr>
          <w:rFonts w:ascii="Arial" w:eastAsia="Times New Roman" w:hAnsi="Arial" w:cs="Arial"/>
          <w:sz w:val="20"/>
          <w:szCs w:val="20"/>
        </w:rPr>
        <w:t>. John Wiley &amp; Sons.</w:t>
      </w:r>
    </w:p>
  </w:endnote>
  <w:endnote w:id="4">
    <w:p w14:paraId="29ED0647" w14:textId="77777777" w:rsidR="00120914" w:rsidRPr="0007012C" w:rsidRDefault="00120914" w:rsidP="00120914">
      <w:pPr>
        <w:rPr>
          <w:rFonts w:ascii="Arial" w:eastAsia="Times New Roman" w:hAnsi="Arial" w:cs="Arial"/>
          <w:sz w:val="20"/>
          <w:szCs w:val="20"/>
        </w:rPr>
      </w:pPr>
      <w:r>
        <w:rPr>
          <w:rStyle w:val="EndnoteReference"/>
        </w:rPr>
        <w:endnoteRef/>
      </w:r>
      <w:r>
        <w:t xml:space="preserve"> </w:t>
      </w:r>
      <w:r w:rsidRPr="00E80A0E">
        <w:rPr>
          <w:rFonts w:ascii="Arial" w:eastAsia="Times New Roman" w:hAnsi="Arial" w:cs="Arial"/>
          <w:sz w:val="20"/>
          <w:szCs w:val="20"/>
        </w:rPr>
        <w:t xml:space="preserve">Biggs, J. B. (2003). </w:t>
      </w:r>
      <w:r w:rsidRPr="00F30AE4">
        <w:rPr>
          <w:rFonts w:ascii="Arial" w:eastAsia="Times New Roman" w:hAnsi="Arial" w:cs="Arial"/>
          <w:i/>
          <w:iCs/>
          <w:sz w:val="20"/>
          <w:szCs w:val="20"/>
        </w:rPr>
        <w:t>Teaching for quality learning at university: What the student does</w:t>
      </w:r>
      <w:r w:rsidRPr="00E80A0E">
        <w:rPr>
          <w:rFonts w:ascii="Arial" w:eastAsia="Times New Roman" w:hAnsi="Arial" w:cs="Arial"/>
          <w:sz w:val="20"/>
          <w:szCs w:val="20"/>
        </w:rPr>
        <w:t xml:space="preserve"> (2nd ed.). Buckingham: Open University Press.</w:t>
      </w:r>
    </w:p>
  </w:endnote>
  <w:endnote w:id="5">
    <w:p w14:paraId="0516A7E4" w14:textId="77777777" w:rsidR="00120914" w:rsidRPr="0007012C" w:rsidRDefault="00120914" w:rsidP="00120914">
      <w:pPr>
        <w:rPr>
          <w:rFonts w:ascii="Arial" w:eastAsia="Times New Roman" w:hAnsi="Arial" w:cs="Arial"/>
          <w:sz w:val="20"/>
          <w:szCs w:val="20"/>
        </w:rPr>
      </w:pPr>
      <w:r>
        <w:rPr>
          <w:rStyle w:val="EndnoteReference"/>
        </w:rPr>
        <w:endnoteRef/>
      </w:r>
      <w:r>
        <w:t xml:space="preserve"> </w:t>
      </w:r>
      <w:proofErr w:type="spellStart"/>
      <w:r w:rsidRPr="00366427">
        <w:rPr>
          <w:rFonts w:ascii="Arial" w:eastAsia="Times New Roman" w:hAnsi="Arial" w:cs="Arial"/>
          <w:sz w:val="20"/>
          <w:szCs w:val="20"/>
        </w:rPr>
        <w:t>Lattuca</w:t>
      </w:r>
      <w:proofErr w:type="spellEnd"/>
      <w:r w:rsidRPr="00366427">
        <w:rPr>
          <w:rFonts w:ascii="Arial" w:eastAsia="Times New Roman" w:hAnsi="Arial" w:cs="Arial"/>
          <w:sz w:val="20"/>
          <w:szCs w:val="20"/>
        </w:rPr>
        <w:t xml:space="preserve">, L. R., Voigt, L. J., &amp; </w:t>
      </w:r>
      <w:proofErr w:type="spellStart"/>
      <w:r w:rsidRPr="00366427">
        <w:rPr>
          <w:rFonts w:ascii="Arial" w:eastAsia="Times New Roman" w:hAnsi="Arial" w:cs="Arial"/>
          <w:sz w:val="20"/>
          <w:szCs w:val="20"/>
        </w:rPr>
        <w:t>Fath</w:t>
      </w:r>
      <w:proofErr w:type="spellEnd"/>
      <w:r w:rsidRPr="00366427">
        <w:rPr>
          <w:rFonts w:ascii="Arial" w:eastAsia="Times New Roman" w:hAnsi="Arial" w:cs="Arial"/>
          <w:sz w:val="20"/>
          <w:szCs w:val="20"/>
        </w:rPr>
        <w:t xml:space="preserve">, K. Q. (2004). Does </w:t>
      </w:r>
      <w:proofErr w:type="spellStart"/>
      <w:r w:rsidRPr="00366427">
        <w:rPr>
          <w:rFonts w:ascii="Arial" w:eastAsia="Times New Roman" w:hAnsi="Arial" w:cs="Arial"/>
          <w:sz w:val="20"/>
          <w:szCs w:val="20"/>
        </w:rPr>
        <w:t>interdisciplinarity</w:t>
      </w:r>
      <w:proofErr w:type="spellEnd"/>
      <w:r w:rsidRPr="00366427">
        <w:rPr>
          <w:rFonts w:ascii="Arial" w:eastAsia="Times New Roman" w:hAnsi="Arial" w:cs="Arial"/>
          <w:sz w:val="20"/>
          <w:szCs w:val="20"/>
        </w:rPr>
        <w:t xml:space="preserve"> promote learning? Theoretical support and researchable questions. </w:t>
      </w:r>
      <w:r w:rsidRPr="00366427">
        <w:rPr>
          <w:rFonts w:ascii="Arial" w:eastAsia="Times New Roman" w:hAnsi="Arial" w:cs="Arial"/>
          <w:i/>
          <w:iCs/>
          <w:sz w:val="20"/>
          <w:szCs w:val="20"/>
        </w:rPr>
        <w:t>The Review of Higher Education</w:t>
      </w:r>
      <w:r w:rsidRPr="00366427">
        <w:rPr>
          <w:rFonts w:ascii="Arial" w:eastAsia="Times New Roman" w:hAnsi="Arial" w:cs="Arial"/>
          <w:sz w:val="20"/>
          <w:szCs w:val="20"/>
        </w:rPr>
        <w:t xml:space="preserve">, </w:t>
      </w:r>
      <w:r w:rsidRPr="00366427">
        <w:rPr>
          <w:rFonts w:ascii="Arial" w:eastAsia="Times New Roman" w:hAnsi="Arial" w:cs="Arial"/>
          <w:i/>
          <w:iCs/>
          <w:sz w:val="20"/>
          <w:szCs w:val="20"/>
        </w:rPr>
        <w:t>28</w:t>
      </w:r>
      <w:r w:rsidRPr="00366427">
        <w:rPr>
          <w:rFonts w:ascii="Arial" w:eastAsia="Times New Roman" w:hAnsi="Arial" w:cs="Arial"/>
          <w:sz w:val="20"/>
          <w:szCs w:val="20"/>
        </w:rPr>
        <w:t>(1), 23-48.</w:t>
      </w:r>
    </w:p>
  </w:endnote>
  <w:endnote w:id="6">
    <w:p w14:paraId="51337DFD" w14:textId="77777777" w:rsidR="00120914" w:rsidRPr="0007012C" w:rsidRDefault="00120914" w:rsidP="00120914">
      <w:pPr>
        <w:rPr>
          <w:rFonts w:ascii="Arial" w:eastAsia="Times New Roman" w:hAnsi="Arial" w:cs="Arial"/>
          <w:sz w:val="20"/>
          <w:szCs w:val="20"/>
        </w:rPr>
      </w:pPr>
      <w:r>
        <w:rPr>
          <w:rStyle w:val="EndnoteReference"/>
        </w:rPr>
        <w:endnoteRef/>
      </w:r>
      <w:r>
        <w:t xml:space="preserve"> </w:t>
      </w:r>
      <w:r w:rsidRPr="0093164A">
        <w:rPr>
          <w:rFonts w:ascii="Arial" w:eastAsia="Times New Roman" w:hAnsi="Arial" w:cs="Arial"/>
          <w:sz w:val="20"/>
          <w:szCs w:val="20"/>
        </w:rPr>
        <w:t xml:space="preserve">Spelt, E. J., Biemans, H. J., Tobi, H., </w:t>
      </w:r>
      <w:proofErr w:type="spellStart"/>
      <w:r w:rsidRPr="0093164A">
        <w:rPr>
          <w:rFonts w:ascii="Arial" w:eastAsia="Times New Roman" w:hAnsi="Arial" w:cs="Arial"/>
          <w:sz w:val="20"/>
          <w:szCs w:val="20"/>
        </w:rPr>
        <w:t>Luning</w:t>
      </w:r>
      <w:proofErr w:type="spellEnd"/>
      <w:r w:rsidRPr="0093164A">
        <w:rPr>
          <w:rFonts w:ascii="Arial" w:eastAsia="Times New Roman" w:hAnsi="Arial" w:cs="Arial"/>
          <w:sz w:val="20"/>
          <w:szCs w:val="20"/>
        </w:rPr>
        <w:t xml:space="preserve">, P. A., &amp; Mulder, M. (2009). Teaching and learning in interdisciplinary higher education: A systematic review. </w:t>
      </w:r>
      <w:r w:rsidRPr="0093164A">
        <w:rPr>
          <w:rFonts w:ascii="Arial" w:eastAsia="Times New Roman" w:hAnsi="Arial" w:cs="Arial"/>
          <w:i/>
          <w:iCs/>
          <w:sz w:val="20"/>
          <w:szCs w:val="20"/>
        </w:rPr>
        <w:t>Educational Psychology Review</w:t>
      </w:r>
      <w:r w:rsidRPr="0093164A">
        <w:rPr>
          <w:rFonts w:ascii="Arial" w:eastAsia="Times New Roman" w:hAnsi="Arial" w:cs="Arial"/>
          <w:sz w:val="20"/>
          <w:szCs w:val="20"/>
        </w:rPr>
        <w:t xml:space="preserve">, </w:t>
      </w:r>
      <w:r w:rsidRPr="0093164A">
        <w:rPr>
          <w:rFonts w:ascii="Arial" w:eastAsia="Times New Roman" w:hAnsi="Arial" w:cs="Arial"/>
          <w:i/>
          <w:iCs/>
          <w:sz w:val="20"/>
          <w:szCs w:val="20"/>
        </w:rPr>
        <w:t>21</w:t>
      </w:r>
      <w:r w:rsidRPr="0093164A">
        <w:rPr>
          <w:rFonts w:ascii="Arial" w:eastAsia="Times New Roman" w:hAnsi="Arial" w:cs="Arial"/>
          <w:sz w:val="20"/>
          <w:szCs w:val="20"/>
        </w:rPr>
        <w:t>(4), 365.</w:t>
      </w:r>
    </w:p>
  </w:endnote>
  <w:endnote w:id="7">
    <w:p w14:paraId="3F753A89" w14:textId="77777777" w:rsidR="00120914" w:rsidRPr="00FD2065" w:rsidRDefault="00120914" w:rsidP="00120914">
      <w:pPr>
        <w:rPr>
          <w:rFonts w:ascii="Arial" w:eastAsia="Times New Roman" w:hAnsi="Arial" w:cs="Arial"/>
          <w:sz w:val="20"/>
          <w:szCs w:val="20"/>
        </w:rPr>
      </w:pPr>
      <w:r>
        <w:rPr>
          <w:rStyle w:val="EndnoteReference"/>
        </w:rPr>
        <w:endnoteRef/>
      </w:r>
      <w:r>
        <w:t xml:space="preserve"> </w:t>
      </w:r>
      <w:r w:rsidRPr="00E454FB">
        <w:rPr>
          <w:rFonts w:ascii="Arial" w:eastAsia="Times New Roman" w:hAnsi="Arial" w:cs="Arial"/>
          <w:sz w:val="20"/>
          <w:szCs w:val="20"/>
        </w:rPr>
        <w:t xml:space="preserve">Weimer, M. (2002). </w:t>
      </w:r>
      <w:r w:rsidRPr="00E454FB">
        <w:rPr>
          <w:rFonts w:ascii="Arial" w:eastAsia="Times New Roman" w:hAnsi="Arial" w:cs="Arial"/>
          <w:i/>
          <w:iCs/>
          <w:sz w:val="20"/>
          <w:szCs w:val="20"/>
        </w:rPr>
        <w:t>Learner-centered teaching: Five key changes to practice</w:t>
      </w:r>
      <w:r w:rsidRPr="00E454FB">
        <w:rPr>
          <w:rFonts w:ascii="Arial" w:eastAsia="Times New Roman" w:hAnsi="Arial" w:cs="Arial"/>
          <w:sz w:val="20"/>
          <w:szCs w:val="20"/>
        </w:rPr>
        <w:t>. John Wiley &amp; Sons.</w:t>
      </w:r>
    </w:p>
  </w:endnote>
  <w:endnote w:id="8">
    <w:p w14:paraId="0F537BA1" w14:textId="77777777" w:rsidR="00120914" w:rsidRPr="00FD2065" w:rsidRDefault="00120914" w:rsidP="00120914">
      <w:pPr>
        <w:rPr>
          <w:rFonts w:eastAsia="Times New Roman" w:cs="Times New Roman"/>
        </w:rPr>
      </w:pPr>
      <w:r>
        <w:rPr>
          <w:rStyle w:val="EndnoteReference"/>
        </w:rPr>
        <w:endnoteRef/>
      </w:r>
      <w:r>
        <w:t xml:space="preserve"> </w:t>
      </w:r>
      <w:r w:rsidRPr="000F40B7">
        <w:rPr>
          <w:rFonts w:ascii="Arial" w:eastAsia="Times New Roman" w:hAnsi="Arial" w:cs="Arial"/>
          <w:sz w:val="20"/>
          <w:szCs w:val="20"/>
        </w:rPr>
        <w:t xml:space="preserve">Wright, G. B. (2011). Student-centered learning in higher education. </w:t>
      </w:r>
      <w:r w:rsidRPr="000F40B7">
        <w:rPr>
          <w:rFonts w:ascii="Arial" w:eastAsia="Times New Roman" w:hAnsi="Arial" w:cs="Arial"/>
          <w:i/>
          <w:iCs/>
          <w:sz w:val="20"/>
          <w:szCs w:val="20"/>
        </w:rPr>
        <w:t>International Journal of Teaching and Learning in Higher Education</w:t>
      </w:r>
      <w:r w:rsidRPr="000F40B7">
        <w:rPr>
          <w:rFonts w:ascii="Arial" w:eastAsia="Times New Roman" w:hAnsi="Arial" w:cs="Arial"/>
          <w:sz w:val="20"/>
          <w:szCs w:val="20"/>
        </w:rPr>
        <w:t xml:space="preserve">, </w:t>
      </w:r>
      <w:r w:rsidRPr="000F40B7">
        <w:rPr>
          <w:rFonts w:ascii="Arial" w:eastAsia="Times New Roman" w:hAnsi="Arial" w:cs="Arial"/>
          <w:i/>
          <w:iCs/>
          <w:sz w:val="20"/>
          <w:szCs w:val="20"/>
        </w:rPr>
        <w:t>23</w:t>
      </w:r>
      <w:r w:rsidRPr="000F40B7">
        <w:rPr>
          <w:rFonts w:ascii="Arial" w:eastAsia="Times New Roman" w:hAnsi="Arial" w:cs="Arial"/>
          <w:sz w:val="20"/>
          <w:szCs w:val="20"/>
        </w:rPr>
        <w:t>(1), 92-97.</w:t>
      </w:r>
    </w:p>
  </w:endnote>
  <w:endnote w:id="9">
    <w:p w14:paraId="10BA8B82" w14:textId="77777777" w:rsidR="00120914" w:rsidRDefault="00120914" w:rsidP="00120914">
      <w:pPr>
        <w:pStyle w:val="EndnoteText"/>
      </w:pPr>
      <w:r>
        <w:rPr>
          <w:rStyle w:val="EndnoteReference"/>
        </w:rPr>
        <w:endnoteRef/>
      </w:r>
      <w:r>
        <w:t xml:space="preserve"> </w:t>
      </w:r>
      <w:r w:rsidRPr="00F30AE4">
        <w:rPr>
          <w:rFonts w:ascii="Arial" w:eastAsia="Times New Roman" w:hAnsi="Arial" w:cs="Arial"/>
          <w:sz w:val="20"/>
          <w:szCs w:val="20"/>
        </w:rPr>
        <w:t>A</w:t>
      </w:r>
      <w:r w:rsidRPr="00563BA9">
        <w:rPr>
          <w:rFonts w:ascii="Arial" w:eastAsia="Times New Roman" w:hAnsi="Arial" w:cs="Arial"/>
          <w:sz w:val="20"/>
          <w:szCs w:val="20"/>
        </w:rPr>
        <w:t xml:space="preserve">pplebee, A. N., &amp; Langer, J. A. (1983). Instructional scaffolding: Reading and writing as natural language activities. </w:t>
      </w:r>
      <w:r w:rsidRPr="00563BA9">
        <w:rPr>
          <w:rFonts w:ascii="Arial" w:eastAsia="Times New Roman" w:hAnsi="Arial" w:cs="Arial"/>
          <w:i/>
          <w:iCs/>
          <w:sz w:val="20"/>
          <w:szCs w:val="20"/>
        </w:rPr>
        <w:t>Language arts</w:t>
      </w:r>
      <w:r w:rsidRPr="00563BA9">
        <w:rPr>
          <w:rFonts w:ascii="Arial" w:eastAsia="Times New Roman" w:hAnsi="Arial" w:cs="Arial"/>
          <w:sz w:val="20"/>
          <w:szCs w:val="20"/>
        </w:rPr>
        <w:t xml:space="preserve">, </w:t>
      </w:r>
      <w:r w:rsidRPr="00563BA9">
        <w:rPr>
          <w:rFonts w:ascii="Arial" w:eastAsia="Times New Roman" w:hAnsi="Arial" w:cs="Arial"/>
          <w:i/>
          <w:iCs/>
          <w:sz w:val="20"/>
          <w:szCs w:val="20"/>
        </w:rPr>
        <w:t>60</w:t>
      </w:r>
      <w:r w:rsidRPr="00563BA9">
        <w:rPr>
          <w:rFonts w:ascii="Arial" w:eastAsia="Times New Roman" w:hAnsi="Arial" w:cs="Arial"/>
          <w:sz w:val="20"/>
          <w:szCs w:val="20"/>
        </w:rPr>
        <w:t>(2), 168-175.</w:t>
      </w:r>
    </w:p>
  </w:endnote>
  <w:endnote w:id="10">
    <w:p w14:paraId="5F86C0A8" w14:textId="77777777" w:rsidR="00120914" w:rsidRPr="00FD2065" w:rsidRDefault="00120914" w:rsidP="00120914">
      <w:pPr>
        <w:rPr>
          <w:rFonts w:ascii="Arial" w:eastAsia="Times New Roman" w:hAnsi="Arial" w:cs="Arial"/>
          <w:sz w:val="20"/>
          <w:szCs w:val="20"/>
        </w:rPr>
      </w:pPr>
      <w:r>
        <w:rPr>
          <w:rStyle w:val="EndnoteReference"/>
        </w:rPr>
        <w:endnoteRef/>
      </w:r>
      <w:r>
        <w:t xml:space="preserve"> </w:t>
      </w:r>
      <w:proofErr w:type="spellStart"/>
      <w:r w:rsidRPr="009773BC">
        <w:rPr>
          <w:rFonts w:ascii="Arial" w:eastAsia="Times New Roman" w:hAnsi="Arial" w:cs="Arial"/>
          <w:sz w:val="20"/>
          <w:szCs w:val="20"/>
        </w:rPr>
        <w:t>Lonka</w:t>
      </w:r>
      <w:proofErr w:type="spellEnd"/>
      <w:r w:rsidRPr="009773BC">
        <w:rPr>
          <w:rFonts w:ascii="Arial" w:eastAsia="Times New Roman" w:hAnsi="Arial" w:cs="Arial"/>
          <w:sz w:val="20"/>
          <w:szCs w:val="20"/>
        </w:rPr>
        <w:t xml:space="preserve">, K., &amp; </w:t>
      </w:r>
      <w:proofErr w:type="spellStart"/>
      <w:r w:rsidRPr="009773BC">
        <w:rPr>
          <w:rFonts w:ascii="Arial" w:eastAsia="Times New Roman" w:hAnsi="Arial" w:cs="Arial"/>
          <w:sz w:val="20"/>
          <w:szCs w:val="20"/>
        </w:rPr>
        <w:t>Ahola</w:t>
      </w:r>
      <w:proofErr w:type="spellEnd"/>
      <w:r w:rsidRPr="009773BC">
        <w:rPr>
          <w:rFonts w:ascii="Arial" w:eastAsia="Times New Roman" w:hAnsi="Arial" w:cs="Arial"/>
          <w:sz w:val="20"/>
          <w:szCs w:val="20"/>
        </w:rPr>
        <w:t xml:space="preserve">, K. (1995). Activating instruction: How to foster study and thinking skills in higher education. </w:t>
      </w:r>
      <w:r w:rsidRPr="009773BC">
        <w:rPr>
          <w:rFonts w:ascii="Arial" w:eastAsia="Times New Roman" w:hAnsi="Arial" w:cs="Arial"/>
          <w:i/>
          <w:iCs/>
          <w:sz w:val="20"/>
          <w:szCs w:val="20"/>
        </w:rPr>
        <w:t>European journal of psychology of education</w:t>
      </w:r>
      <w:r w:rsidRPr="009773BC">
        <w:rPr>
          <w:rFonts w:ascii="Arial" w:eastAsia="Times New Roman" w:hAnsi="Arial" w:cs="Arial"/>
          <w:sz w:val="20"/>
          <w:szCs w:val="20"/>
        </w:rPr>
        <w:t xml:space="preserve">, </w:t>
      </w:r>
      <w:r w:rsidRPr="009773BC">
        <w:rPr>
          <w:rFonts w:ascii="Arial" w:eastAsia="Times New Roman" w:hAnsi="Arial" w:cs="Arial"/>
          <w:i/>
          <w:iCs/>
          <w:sz w:val="20"/>
          <w:szCs w:val="20"/>
        </w:rPr>
        <w:t>10</w:t>
      </w:r>
      <w:r w:rsidRPr="009773BC">
        <w:rPr>
          <w:rFonts w:ascii="Arial" w:eastAsia="Times New Roman" w:hAnsi="Arial" w:cs="Arial"/>
          <w:sz w:val="20"/>
          <w:szCs w:val="20"/>
        </w:rPr>
        <w:t>(4), 351-368.</w:t>
      </w:r>
    </w:p>
  </w:endnote>
  <w:endnote w:id="11">
    <w:p w14:paraId="4F99E358" w14:textId="77777777" w:rsidR="00120914" w:rsidRPr="00FD2065" w:rsidRDefault="00120914" w:rsidP="00120914">
      <w:pPr>
        <w:rPr>
          <w:rFonts w:ascii="Arial" w:eastAsia="Times New Roman" w:hAnsi="Arial" w:cs="Arial"/>
          <w:sz w:val="20"/>
          <w:szCs w:val="20"/>
        </w:rPr>
      </w:pPr>
      <w:r>
        <w:rPr>
          <w:rStyle w:val="EndnoteReference"/>
        </w:rPr>
        <w:endnoteRef/>
      </w:r>
      <w:r>
        <w:t xml:space="preserve"> </w:t>
      </w:r>
      <w:r w:rsidRPr="00F30AE4">
        <w:rPr>
          <w:rFonts w:ascii="Arial" w:eastAsia="Times New Roman" w:hAnsi="Arial" w:cs="Arial"/>
          <w:sz w:val="20"/>
          <w:szCs w:val="20"/>
        </w:rPr>
        <w:t xml:space="preserve">Sharma, P., &amp; </w:t>
      </w:r>
      <w:proofErr w:type="spellStart"/>
      <w:r w:rsidRPr="00F30AE4">
        <w:rPr>
          <w:rFonts w:ascii="Arial" w:eastAsia="Times New Roman" w:hAnsi="Arial" w:cs="Arial"/>
          <w:sz w:val="20"/>
          <w:szCs w:val="20"/>
        </w:rPr>
        <w:t>Hannafin</w:t>
      </w:r>
      <w:proofErr w:type="spellEnd"/>
      <w:r w:rsidRPr="00F30AE4">
        <w:rPr>
          <w:rFonts w:ascii="Arial" w:eastAsia="Times New Roman" w:hAnsi="Arial" w:cs="Arial"/>
          <w:sz w:val="20"/>
          <w:szCs w:val="20"/>
        </w:rPr>
        <w:t xml:space="preserve">, M. (2005). Learner perceptions of scaffolding in supporting critical thinking. </w:t>
      </w:r>
      <w:r w:rsidRPr="00F30AE4">
        <w:rPr>
          <w:rFonts w:ascii="Arial" w:eastAsia="Times New Roman" w:hAnsi="Arial" w:cs="Arial"/>
          <w:i/>
          <w:iCs/>
          <w:sz w:val="20"/>
          <w:szCs w:val="20"/>
        </w:rPr>
        <w:t>Journal of Computing in Higher Education</w:t>
      </w:r>
      <w:r w:rsidRPr="00F30AE4">
        <w:rPr>
          <w:rFonts w:ascii="Arial" w:eastAsia="Times New Roman" w:hAnsi="Arial" w:cs="Arial"/>
          <w:sz w:val="20"/>
          <w:szCs w:val="20"/>
        </w:rPr>
        <w:t xml:space="preserve">, </w:t>
      </w:r>
      <w:r w:rsidRPr="00F30AE4">
        <w:rPr>
          <w:rFonts w:ascii="Arial" w:eastAsia="Times New Roman" w:hAnsi="Arial" w:cs="Arial"/>
          <w:i/>
          <w:iCs/>
          <w:sz w:val="20"/>
          <w:szCs w:val="20"/>
        </w:rPr>
        <w:t>17</w:t>
      </w:r>
      <w:r w:rsidRPr="00F30AE4">
        <w:rPr>
          <w:rFonts w:ascii="Arial" w:eastAsia="Times New Roman" w:hAnsi="Arial" w:cs="Arial"/>
          <w:sz w:val="20"/>
          <w:szCs w:val="20"/>
        </w:rPr>
        <w:t>(1), 17-42.</w:t>
      </w:r>
    </w:p>
  </w:endnote>
  <w:endnote w:id="12">
    <w:p w14:paraId="5DB3798A" w14:textId="77777777" w:rsidR="00120914" w:rsidRDefault="00120914" w:rsidP="00120914">
      <w:pPr>
        <w:pStyle w:val="EndnoteText"/>
      </w:pPr>
      <w:r>
        <w:rPr>
          <w:rStyle w:val="EndnoteReference"/>
        </w:rPr>
        <w:endnoteRef/>
      </w:r>
      <w:r>
        <w:t xml:space="preserve"> </w:t>
      </w:r>
      <w:proofErr w:type="spellStart"/>
      <w:r w:rsidRPr="00F30AE4">
        <w:rPr>
          <w:rFonts w:ascii="Arial" w:eastAsia="Times New Roman" w:hAnsi="Arial" w:cs="Arial"/>
          <w:sz w:val="20"/>
          <w:szCs w:val="20"/>
        </w:rPr>
        <w:t>Winkelmes</w:t>
      </w:r>
      <w:proofErr w:type="spellEnd"/>
      <w:r w:rsidRPr="00F30AE4">
        <w:rPr>
          <w:rFonts w:ascii="Arial" w:eastAsia="Times New Roman" w:hAnsi="Arial" w:cs="Arial"/>
          <w:sz w:val="20"/>
          <w:szCs w:val="20"/>
        </w:rPr>
        <w:t xml:space="preserve">, M. A., </w:t>
      </w:r>
      <w:proofErr w:type="spellStart"/>
      <w:r w:rsidRPr="00F30AE4">
        <w:rPr>
          <w:rFonts w:ascii="Arial" w:eastAsia="Times New Roman" w:hAnsi="Arial" w:cs="Arial"/>
          <w:sz w:val="20"/>
          <w:szCs w:val="20"/>
        </w:rPr>
        <w:t>Bernacki</w:t>
      </w:r>
      <w:proofErr w:type="spellEnd"/>
      <w:r w:rsidRPr="00F30AE4">
        <w:rPr>
          <w:rFonts w:ascii="Arial" w:eastAsia="Times New Roman" w:hAnsi="Arial" w:cs="Arial"/>
          <w:sz w:val="20"/>
          <w:szCs w:val="20"/>
        </w:rPr>
        <w:t xml:space="preserve">, M., Butler, J., </w:t>
      </w:r>
      <w:proofErr w:type="spellStart"/>
      <w:r w:rsidRPr="00F30AE4">
        <w:rPr>
          <w:rFonts w:ascii="Arial" w:eastAsia="Times New Roman" w:hAnsi="Arial" w:cs="Arial"/>
          <w:sz w:val="20"/>
          <w:szCs w:val="20"/>
        </w:rPr>
        <w:t>Zochowski</w:t>
      </w:r>
      <w:proofErr w:type="spellEnd"/>
      <w:r w:rsidRPr="00F30AE4">
        <w:rPr>
          <w:rFonts w:ascii="Arial" w:eastAsia="Times New Roman" w:hAnsi="Arial" w:cs="Arial"/>
          <w:sz w:val="20"/>
          <w:szCs w:val="20"/>
        </w:rPr>
        <w:t xml:space="preserve">, M., </w:t>
      </w:r>
      <w:proofErr w:type="spellStart"/>
      <w:r w:rsidRPr="00F30AE4">
        <w:rPr>
          <w:rFonts w:ascii="Arial" w:eastAsia="Times New Roman" w:hAnsi="Arial" w:cs="Arial"/>
          <w:sz w:val="20"/>
          <w:szCs w:val="20"/>
        </w:rPr>
        <w:t>Golanics</w:t>
      </w:r>
      <w:proofErr w:type="spellEnd"/>
      <w:r w:rsidRPr="00F30AE4">
        <w:rPr>
          <w:rFonts w:ascii="Arial" w:eastAsia="Times New Roman" w:hAnsi="Arial" w:cs="Arial"/>
          <w:sz w:val="20"/>
          <w:szCs w:val="20"/>
        </w:rPr>
        <w:t xml:space="preserve">, J., &amp; </w:t>
      </w:r>
      <w:proofErr w:type="spellStart"/>
      <w:r w:rsidRPr="00F30AE4">
        <w:rPr>
          <w:rFonts w:ascii="Arial" w:eastAsia="Times New Roman" w:hAnsi="Arial" w:cs="Arial"/>
          <w:sz w:val="20"/>
          <w:szCs w:val="20"/>
        </w:rPr>
        <w:t>Weavil</w:t>
      </w:r>
      <w:proofErr w:type="spellEnd"/>
      <w:r w:rsidRPr="00F30AE4">
        <w:rPr>
          <w:rFonts w:ascii="Arial" w:eastAsia="Times New Roman" w:hAnsi="Arial" w:cs="Arial"/>
          <w:sz w:val="20"/>
          <w:szCs w:val="20"/>
        </w:rPr>
        <w:t xml:space="preserve">, K. H. (2016). A Teaching Intervention that Increases Underserved College Students' Success. </w:t>
      </w:r>
      <w:r w:rsidRPr="00F30AE4">
        <w:rPr>
          <w:rFonts w:ascii="Arial" w:eastAsia="Times New Roman" w:hAnsi="Arial" w:cs="Arial"/>
          <w:i/>
          <w:iCs/>
          <w:sz w:val="20"/>
          <w:szCs w:val="20"/>
        </w:rPr>
        <w:t>Peer Review</w:t>
      </w:r>
      <w:r w:rsidRPr="00F30AE4">
        <w:rPr>
          <w:rFonts w:ascii="Arial" w:eastAsia="Times New Roman" w:hAnsi="Arial" w:cs="Arial"/>
          <w:sz w:val="20"/>
          <w:szCs w:val="20"/>
        </w:rPr>
        <w:t xml:space="preserve">, </w:t>
      </w:r>
      <w:r w:rsidRPr="00F30AE4">
        <w:rPr>
          <w:rFonts w:ascii="Arial" w:eastAsia="Times New Roman" w:hAnsi="Arial" w:cs="Arial"/>
          <w:i/>
          <w:iCs/>
          <w:sz w:val="20"/>
          <w:szCs w:val="20"/>
        </w:rPr>
        <w:t>18</w:t>
      </w:r>
      <w:r w:rsidRPr="00F30AE4">
        <w:rPr>
          <w:rFonts w:ascii="Arial" w:eastAsia="Times New Roman" w:hAnsi="Arial" w:cs="Arial"/>
          <w:sz w:val="20"/>
          <w:szCs w:val="20"/>
        </w:rPr>
        <w:t>(1/2), 31</w:t>
      </w:r>
    </w:p>
  </w:endnote>
  <w:endnote w:id="13">
    <w:p w14:paraId="494A836A" w14:textId="77777777" w:rsidR="00120914" w:rsidRPr="00FD2065" w:rsidRDefault="00120914" w:rsidP="00120914">
      <w:pPr>
        <w:rPr>
          <w:rFonts w:ascii="Arial" w:eastAsia="Times New Roman" w:hAnsi="Arial" w:cs="Arial"/>
          <w:sz w:val="20"/>
          <w:szCs w:val="20"/>
        </w:rPr>
      </w:pPr>
      <w:r>
        <w:rPr>
          <w:rStyle w:val="EndnoteReference"/>
        </w:rPr>
        <w:endnoteRef/>
      </w:r>
      <w:r>
        <w:t xml:space="preserve"> </w:t>
      </w:r>
      <w:r w:rsidRPr="005F6D44">
        <w:rPr>
          <w:rFonts w:ascii="Arial" w:eastAsia="Times New Roman" w:hAnsi="Arial" w:cs="Arial"/>
          <w:sz w:val="20"/>
          <w:szCs w:val="20"/>
        </w:rPr>
        <w:t xml:space="preserve">Tinto, V. (1987). </w:t>
      </w:r>
      <w:r w:rsidRPr="005F6D44">
        <w:rPr>
          <w:rFonts w:ascii="Arial" w:eastAsia="Times New Roman" w:hAnsi="Arial" w:cs="Arial"/>
          <w:i/>
          <w:iCs/>
          <w:sz w:val="20"/>
          <w:szCs w:val="20"/>
        </w:rPr>
        <w:t>Leaving college: Rethinking the causes and cures of student attrition</w:t>
      </w:r>
      <w:r w:rsidRPr="005F6D44">
        <w:rPr>
          <w:rFonts w:ascii="Arial" w:eastAsia="Times New Roman" w:hAnsi="Arial" w:cs="Arial"/>
          <w:sz w:val="20"/>
          <w:szCs w:val="20"/>
        </w:rPr>
        <w:t>. University of Chicago Press, 5801 S. Ellis Avenue, Chicago, IL 60637.</w:t>
      </w:r>
    </w:p>
  </w:endnote>
  <w:endnote w:id="14">
    <w:p w14:paraId="4AA06302" w14:textId="77777777" w:rsidR="00120914" w:rsidRPr="00FD2065" w:rsidRDefault="00120914" w:rsidP="00120914">
      <w:pPr>
        <w:rPr>
          <w:rFonts w:ascii="Arial" w:eastAsia="Times New Roman" w:hAnsi="Arial" w:cs="Arial"/>
          <w:sz w:val="20"/>
          <w:szCs w:val="20"/>
        </w:rPr>
      </w:pPr>
      <w:r>
        <w:rPr>
          <w:rStyle w:val="EndnoteReference"/>
        </w:rPr>
        <w:endnoteRef/>
      </w:r>
      <w:r>
        <w:t xml:space="preserve"> </w:t>
      </w:r>
      <w:r w:rsidRPr="00EC780C">
        <w:rPr>
          <w:rFonts w:ascii="Arial" w:eastAsia="Times New Roman" w:hAnsi="Arial" w:cs="Arial"/>
          <w:sz w:val="20"/>
          <w:szCs w:val="20"/>
        </w:rPr>
        <w:t xml:space="preserve">Freeman, T. M., Anderman, L. H., &amp; Jensen, J. M. (2007). Sense of belonging in college freshmen at the classroom and campus levels. </w:t>
      </w:r>
      <w:r w:rsidRPr="00EC780C">
        <w:rPr>
          <w:rFonts w:ascii="Arial" w:eastAsia="Times New Roman" w:hAnsi="Arial" w:cs="Arial"/>
          <w:i/>
          <w:iCs/>
          <w:sz w:val="20"/>
          <w:szCs w:val="20"/>
        </w:rPr>
        <w:t>The Journal of Experimental Education</w:t>
      </w:r>
      <w:r w:rsidRPr="00EC780C">
        <w:rPr>
          <w:rFonts w:ascii="Arial" w:eastAsia="Times New Roman" w:hAnsi="Arial" w:cs="Arial"/>
          <w:sz w:val="20"/>
          <w:szCs w:val="20"/>
        </w:rPr>
        <w:t xml:space="preserve">, </w:t>
      </w:r>
      <w:r w:rsidRPr="00EC780C">
        <w:rPr>
          <w:rFonts w:ascii="Arial" w:eastAsia="Times New Roman" w:hAnsi="Arial" w:cs="Arial"/>
          <w:i/>
          <w:iCs/>
          <w:sz w:val="20"/>
          <w:szCs w:val="20"/>
        </w:rPr>
        <w:t>75</w:t>
      </w:r>
      <w:r w:rsidRPr="00EC780C">
        <w:rPr>
          <w:rFonts w:ascii="Arial" w:eastAsia="Times New Roman" w:hAnsi="Arial" w:cs="Arial"/>
          <w:sz w:val="20"/>
          <w:szCs w:val="20"/>
        </w:rPr>
        <w:t>(3), 203-220.</w:t>
      </w:r>
    </w:p>
  </w:endnote>
  <w:endnote w:id="15">
    <w:p w14:paraId="060313FB" w14:textId="77777777" w:rsidR="00120914" w:rsidRPr="00FD2065" w:rsidRDefault="00120914" w:rsidP="00120914">
      <w:pPr>
        <w:rPr>
          <w:rFonts w:ascii="Arial" w:eastAsia="Times New Roman" w:hAnsi="Arial" w:cs="Arial"/>
          <w:sz w:val="20"/>
          <w:szCs w:val="20"/>
        </w:rPr>
      </w:pPr>
      <w:r>
        <w:rPr>
          <w:rStyle w:val="EndnoteReference"/>
        </w:rPr>
        <w:endnoteRef/>
      </w:r>
      <w:r>
        <w:t xml:space="preserve"> </w:t>
      </w:r>
      <w:r w:rsidRPr="00665613">
        <w:rPr>
          <w:rFonts w:ascii="Arial" w:eastAsia="Times New Roman" w:hAnsi="Arial" w:cs="Arial"/>
          <w:sz w:val="20"/>
          <w:szCs w:val="20"/>
        </w:rPr>
        <w:t xml:space="preserve">Hove, M. J., &amp; Risen, J. L. (2009). It's all in the timing: Interpersonal synchrony increases affiliation. </w:t>
      </w:r>
      <w:r w:rsidRPr="00665613">
        <w:rPr>
          <w:rFonts w:ascii="Arial" w:eastAsia="Times New Roman" w:hAnsi="Arial" w:cs="Arial"/>
          <w:i/>
          <w:iCs/>
          <w:sz w:val="20"/>
          <w:szCs w:val="20"/>
        </w:rPr>
        <w:t>Social Cognition</w:t>
      </w:r>
      <w:r w:rsidRPr="00665613">
        <w:rPr>
          <w:rFonts w:ascii="Arial" w:eastAsia="Times New Roman" w:hAnsi="Arial" w:cs="Arial"/>
          <w:sz w:val="20"/>
          <w:szCs w:val="20"/>
        </w:rPr>
        <w:t xml:space="preserve">, </w:t>
      </w:r>
      <w:r w:rsidRPr="00665613">
        <w:rPr>
          <w:rFonts w:ascii="Arial" w:eastAsia="Times New Roman" w:hAnsi="Arial" w:cs="Arial"/>
          <w:i/>
          <w:iCs/>
          <w:sz w:val="20"/>
          <w:szCs w:val="20"/>
        </w:rPr>
        <w:t>27</w:t>
      </w:r>
      <w:r w:rsidRPr="00665613">
        <w:rPr>
          <w:rFonts w:ascii="Arial" w:eastAsia="Times New Roman" w:hAnsi="Arial" w:cs="Arial"/>
          <w:sz w:val="20"/>
          <w:szCs w:val="20"/>
        </w:rPr>
        <w:t>(6), 949-960.</w:t>
      </w:r>
    </w:p>
  </w:endnote>
  <w:endnote w:id="16">
    <w:p w14:paraId="3F2225E7" w14:textId="77777777" w:rsidR="00120914" w:rsidRPr="000F40B7" w:rsidRDefault="00120914" w:rsidP="00120914">
      <w:pPr>
        <w:rPr>
          <w:rFonts w:ascii="Arial" w:eastAsia="Times New Roman" w:hAnsi="Arial" w:cs="Arial"/>
          <w:sz w:val="20"/>
          <w:szCs w:val="20"/>
        </w:rPr>
      </w:pPr>
      <w:r>
        <w:rPr>
          <w:rStyle w:val="EndnoteReference"/>
        </w:rPr>
        <w:endnoteRef/>
      </w:r>
      <w:r>
        <w:t xml:space="preserve"> </w:t>
      </w:r>
      <w:proofErr w:type="spellStart"/>
      <w:r w:rsidRPr="00AD2A1B">
        <w:rPr>
          <w:rFonts w:ascii="Arial" w:eastAsia="Times New Roman" w:hAnsi="Arial" w:cs="Arial"/>
          <w:sz w:val="20"/>
          <w:szCs w:val="20"/>
        </w:rPr>
        <w:t>Zubrunn</w:t>
      </w:r>
      <w:proofErr w:type="spellEnd"/>
      <w:r w:rsidRPr="00AD2A1B">
        <w:rPr>
          <w:rFonts w:ascii="Arial" w:eastAsia="Times New Roman" w:hAnsi="Arial" w:cs="Arial"/>
          <w:sz w:val="20"/>
          <w:szCs w:val="20"/>
        </w:rPr>
        <w:t xml:space="preserve">, S., </w:t>
      </w:r>
      <w:proofErr w:type="spellStart"/>
      <w:r w:rsidRPr="00AD2A1B">
        <w:rPr>
          <w:rFonts w:ascii="Arial" w:eastAsia="Times New Roman" w:hAnsi="Arial" w:cs="Arial"/>
          <w:sz w:val="20"/>
          <w:szCs w:val="20"/>
        </w:rPr>
        <w:t>McKim</w:t>
      </w:r>
      <w:proofErr w:type="spellEnd"/>
      <w:r w:rsidRPr="00AD2A1B">
        <w:rPr>
          <w:rFonts w:ascii="Arial" w:eastAsia="Times New Roman" w:hAnsi="Arial" w:cs="Arial"/>
          <w:sz w:val="20"/>
          <w:szCs w:val="20"/>
        </w:rPr>
        <w:t xml:space="preserve">, C., </w:t>
      </w:r>
      <w:proofErr w:type="spellStart"/>
      <w:r w:rsidRPr="00AD2A1B">
        <w:rPr>
          <w:rFonts w:ascii="Arial" w:eastAsia="Times New Roman" w:hAnsi="Arial" w:cs="Arial"/>
          <w:sz w:val="20"/>
          <w:szCs w:val="20"/>
        </w:rPr>
        <w:t>Buhs</w:t>
      </w:r>
      <w:proofErr w:type="spellEnd"/>
      <w:r w:rsidRPr="00AD2A1B">
        <w:rPr>
          <w:rFonts w:ascii="Arial" w:eastAsia="Times New Roman" w:hAnsi="Arial" w:cs="Arial"/>
          <w:sz w:val="20"/>
          <w:szCs w:val="20"/>
        </w:rPr>
        <w:t xml:space="preserve">, E., &amp; Hawley, L. R. (2014). Support, belonging, motivation, and engagement in the college classroom: A mixed method study. </w:t>
      </w:r>
      <w:r w:rsidRPr="00F30AE4">
        <w:rPr>
          <w:rFonts w:ascii="Arial" w:eastAsia="Times New Roman" w:hAnsi="Arial" w:cs="Arial"/>
          <w:i/>
          <w:iCs/>
          <w:sz w:val="20"/>
          <w:szCs w:val="20"/>
        </w:rPr>
        <w:t>Instructional Science</w:t>
      </w:r>
      <w:r w:rsidRPr="00AD2A1B">
        <w:rPr>
          <w:rFonts w:ascii="Arial" w:eastAsia="Times New Roman" w:hAnsi="Arial" w:cs="Arial"/>
          <w:sz w:val="20"/>
          <w:szCs w:val="20"/>
        </w:rPr>
        <w:t xml:space="preserve">, </w:t>
      </w:r>
      <w:r w:rsidRPr="00F30AE4">
        <w:rPr>
          <w:rFonts w:ascii="Arial" w:eastAsia="Times New Roman" w:hAnsi="Arial" w:cs="Arial"/>
          <w:i/>
          <w:iCs/>
          <w:sz w:val="20"/>
          <w:szCs w:val="20"/>
        </w:rPr>
        <w:t>42</w:t>
      </w:r>
      <w:r w:rsidRPr="00AD2A1B">
        <w:rPr>
          <w:rFonts w:ascii="Arial" w:eastAsia="Times New Roman" w:hAnsi="Arial" w:cs="Arial"/>
          <w:sz w:val="20"/>
          <w:szCs w:val="20"/>
        </w:rPr>
        <w:t>, 661-684.</w:t>
      </w:r>
    </w:p>
  </w:endnote>
  <w:endnote w:id="17">
    <w:p w14:paraId="1C14DEB8" w14:textId="77777777" w:rsidR="00120914" w:rsidRPr="000F40B7" w:rsidRDefault="00120914" w:rsidP="00120914">
      <w:pPr>
        <w:rPr>
          <w:rFonts w:eastAsia="Times New Roman" w:cs="Times New Roman"/>
        </w:rPr>
      </w:pPr>
      <w:r>
        <w:rPr>
          <w:rStyle w:val="EndnoteReference"/>
        </w:rPr>
        <w:endnoteRef/>
      </w:r>
      <w:r w:rsidRPr="000F40B7">
        <w:rPr>
          <w:rFonts w:ascii="Arial" w:hAnsi="Arial" w:cs="Arial"/>
          <w:sz w:val="20"/>
        </w:rPr>
        <w:t xml:space="preserve"> </w:t>
      </w:r>
      <w:r w:rsidRPr="000F40B7">
        <w:rPr>
          <w:rFonts w:ascii="Arial" w:eastAsia="Times New Roman" w:hAnsi="Arial" w:cs="Arial"/>
          <w:sz w:val="20"/>
        </w:rPr>
        <w:t xml:space="preserve">Totten, S., Sills, T., Digby, A., &amp; Russ, P. (1991). Collaborative learning: A guide to research. </w:t>
      </w:r>
      <w:r w:rsidRPr="000F40B7">
        <w:rPr>
          <w:rFonts w:ascii="Arial" w:eastAsia="Times New Roman" w:hAnsi="Arial" w:cs="Arial"/>
          <w:i/>
          <w:iCs/>
          <w:sz w:val="20"/>
        </w:rPr>
        <w:t>Scandinavian Journal of Educational Research</w:t>
      </w:r>
      <w:r w:rsidRPr="000F40B7">
        <w:rPr>
          <w:rFonts w:ascii="Arial" w:eastAsia="Times New Roman" w:hAnsi="Arial" w:cs="Arial"/>
          <w:sz w:val="20"/>
        </w:rPr>
        <w:t xml:space="preserve">, </w:t>
      </w:r>
      <w:r w:rsidRPr="000F40B7">
        <w:rPr>
          <w:rFonts w:ascii="Arial" w:eastAsia="Times New Roman" w:hAnsi="Arial" w:cs="Arial"/>
          <w:i/>
          <w:iCs/>
          <w:sz w:val="20"/>
        </w:rPr>
        <w:t>33</w:t>
      </w:r>
      <w:r w:rsidRPr="000F40B7">
        <w:rPr>
          <w:rFonts w:ascii="Arial" w:eastAsia="Times New Roman" w:hAnsi="Arial" w:cs="Arial"/>
          <w:sz w:val="20"/>
        </w:rPr>
        <w:t>(4), 231-243.</w:t>
      </w:r>
    </w:p>
  </w:endnote>
  <w:endnote w:id="18">
    <w:p w14:paraId="67B0FD7A" w14:textId="77777777" w:rsidR="00120914" w:rsidRPr="000F40B7" w:rsidRDefault="00120914" w:rsidP="00120914">
      <w:pPr>
        <w:rPr>
          <w:rFonts w:eastAsia="Times New Roman" w:cs="Times New Roman"/>
        </w:rPr>
      </w:pPr>
      <w:r>
        <w:rPr>
          <w:rStyle w:val="EndnoteReference"/>
        </w:rPr>
        <w:endnoteRef/>
      </w:r>
      <w:r>
        <w:t xml:space="preserve"> </w:t>
      </w:r>
      <w:proofErr w:type="spellStart"/>
      <w:r w:rsidRPr="000F40B7">
        <w:rPr>
          <w:rFonts w:ascii="Arial" w:eastAsia="Times New Roman" w:hAnsi="Arial" w:cs="Arial"/>
          <w:sz w:val="20"/>
          <w:szCs w:val="20"/>
        </w:rPr>
        <w:t>Gokhale</w:t>
      </w:r>
      <w:proofErr w:type="spellEnd"/>
      <w:r w:rsidRPr="000F40B7">
        <w:rPr>
          <w:rFonts w:ascii="Arial" w:eastAsia="Times New Roman" w:hAnsi="Arial" w:cs="Arial"/>
          <w:sz w:val="20"/>
          <w:szCs w:val="20"/>
        </w:rPr>
        <w:t>, A. A. (1995). Collaborative learning enhances critical thinking.</w:t>
      </w:r>
    </w:p>
  </w:endnote>
  <w:endnote w:id="19">
    <w:p w14:paraId="0BF919D9" w14:textId="77777777" w:rsidR="00120914" w:rsidRPr="000F40B7" w:rsidRDefault="00120914" w:rsidP="00120914">
      <w:pPr>
        <w:rPr>
          <w:rFonts w:ascii="Arial" w:eastAsia="Times New Roman" w:hAnsi="Arial" w:cs="Arial"/>
          <w:sz w:val="20"/>
          <w:szCs w:val="20"/>
        </w:rPr>
      </w:pPr>
      <w:r>
        <w:rPr>
          <w:rStyle w:val="EndnoteReference"/>
        </w:rPr>
        <w:endnoteRef/>
      </w:r>
      <w:r>
        <w:t xml:space="preserve"> </w:t>
      </w:r>
      <w:proofErr w:type="spellStart"/>
      <w:r w:rsidRPr="00F30AE4">
        <w:rPr>
          <w:rFonts w:ascii="Arial" w:eastAsia="Times New Roman" w:hAnsi="Arial" w:cs="Arial"/>
          <w:sz w:val="20"/>
          <w:szCs w:val="20"/>
        </w:rPr>
        <w:t>Kuh</w:t>
      </w:r>
      <w:proofErr w:type="spellEnd"/>
      <w:r w:rsidRPr="00F30AE4">
        <w:rPr>
          <w:rFonts w:ascii="Arial" w:eastAsia="Times New Roman" w:hAnsi="Arial" w:cs="Arial"/>
          <w:sz w:val="20"/>
          <w:szCs w:val="20"/>
        </w:rPr>
        <w:t xml:space="preserve">, G. D., </w:t>
      </w:r>
      <w:proofErr w:type="spellStart"/>
      <w:r w:rsidRPr="00F30AE4">
        <w:rPr>
          <w:rFonts w:ascii="Arial" w:eastAsia="Times New Roman" w:hAnsi="Arial" w:cs="Arial"/>
          <w:sz w:val="20"/>
          <w:szCs w:val="20"/>
        </w:rPr>
        <w:t>Kinzie</w:t>
      </w:r>
      <w:proofErr w:type="spellEnd"/>
      <w:r w:rsidRPr="00F30AE4">
        <w:rPr>
          <w:rFonts w:ascii="Arial" w:eastAsia="Times New Roman" w:hAnsi="Arial" w:cs="Arial"/>
          <w:sz w:val="20"/>
          <w:szCs w:val="20"/>
        </w:rPr>
        <w:t xml:space="preserve">, J., </w:t>
      </w:r>
      <w:proofErr w:type="spellStart"/>
      <w:r w:rsidRPr="00F30AE4">
        <w:rPr>
          <w:rFonts w:ascii="Arial" w:eastAsia="Times New Roman" w:hAnsi="Arial" w:cs="Arial"/>
          <w:sz w:val="20"/>
          <w:szCs w:val="20"/>
        </w:rPr>
        <w:t>Schuh</w:t>
      </w:r>
      <w:proofErr w:type="spellEnd"/>
      <w:r w:rsidRPr="00F30AE4">
        <w:rPr>
          <w:rFonts w:ascii="Arial" w:eastAsia="Times New Roman" w:hAnsi="Arial" w:cs="Arial"/>
          <w:sz w:val="20"/>
          <w:szCs w:val="20"/>
        </w:rPr>
        <w:t xml:space="preserve">, J. H., &amp; Whitt, E. J. (2011). </w:t>
      </w:r>
      <w:r w:rsidRPr="00F30AE4">
        <w:rPr>
          <w:rFonts w:ascii="Arial" w:eastAsia="Times New Roman" w:hAnsi="Arial" w:cs="Arial"/>
          <w:i/>
          <w:iCs/>
          <w:sz w:val="20"/>
          <w:szCs w:val="20"/>
        </w:rPr>
        <w:t>Student success in college: Creating conditions that matter</w:t>
      </w:r>
      <w:r w:rsidRPr="00F30AE4">
        <w:rPr>
          <w:rFonts w:ascii="Arial" w:eastAsia="Times New Roman" w:hAnsi="Arial" w:cs="Arial"/>
          <w:sz w:val="20"/>
          <w:szCs w:val="20"/>
        </w:rPr>
        <w:t>. John Wiley &amp; Sons.</w:t>
      </w:r>
    </w:p>
  </w:endnote>
  <w:endnote w:id="20">
    <w:p w14:paraId="6E615C37" w14:textId="77777777" w:rsidR="00120914" w:rsidRDefault="00120914" w:rsidP="00120914">
      <w:pPr>
        <w:rPr>
          <w:rFonts w:eastAsia="Times New Roman" w:cs="Times New Roman"/>
        </w:rPr>
      </w:pPr>
      <w:r>
        <w:rPr>
          <w:rStyle w:val="EndnoteReference"/>
        </w:rPr>
        <w:endnoteRef/>
      </w:r>
      <w:r>
        <w:t xml:space="preserve"> </w:t>
      </w:r>
      <w:r w:rsidRPr="000F40B7">
        <w:rPr>
          <w:rFonts w:ascii="Arial" w:eastAsia="Times New Roman" w:hAnsi="Arial" w:cs="Arial"/>
          <w:sz w:val="20"/>
          <w:szCs w:val="20"/>
        </w:rPr>
        <w:t xml:space="preserve">Davidson, N., Major, C. H., &amp; </w:t>
      </w:r>
      <w:proofErr w:type="spellStart"/>
      <w:r w:rsidRPr="000F40B7">
        <w:rPr>
          <w:rFonts w:ascii="Arial" w:eastAsia="Times New Roman" w:hAnsi="Arial" w:cs="Arial"/>
          <w:sz w:val="20"/>
          <w:szCs w:val="20"/>
        </w:rPr>
        <w:t>Michaelsen</w:t>
      </w:r>
      <w:proofErr w:type="spellEnd"/>
      <w:r w:rsidRPr="000F40B7">
        <w:rPr>
          <w:rFonts w:ascii="Arial" w:eastAsia="Times New Roman" w:hAnsi="Arial" w:cs="Arial"/>
          <w:sz w:val="20"/>
          <w:szCs w:val="20"/>
        </w:rPr>
        <w:t xml:space="preserve">, L. K. (2014). Small-group learning in higher education—cooperative, collaborative, problem-based, and team-based learning: an introduction by the guest editors. </w:t>
      </w:r>
      <w:r w:rsidRPr="000F40B7">
        <w:rPr>
          <w:rFonts w:ascii="Arial" w:eastAsia="Times New Roman" w:hAnsi="Arial" w:cs="Arial"/>
          <w:i/>
          <w:iCs/>
          <w:sz w:val="20"/>
          <w:szCs w:val="20"/>
        </w:rPr>
        <w:t>Journal on Excellence in College Teaching</w:t>
      </w:r>
      <w:r w:rsidRPr="000F40B7">
        <w:rPr>
          <w:rFonts w:ascii="Arial" w:eastAsia="Times New Roman" w:hAnsi="Arial" w:cs="Arial"/>
          <w:sz w:val="20"/>
          <w:szCs w:val="20"/>
        </w:rPr>
        <w:t xml:space="preserve">, </w:t>
      </w:r>
      <w:r w:rsidRPr="000F40B7">
        <w:rPr>
          <w:rFonts w:ascii="Arial" w:eastAsia="Times New Roman" w:hAnsi="Arial" w:cs="Arial"/>
          <w:i/>
          <w:iCs/>
          <w:sz w:val="20"/>
          <w:szCs w:val="20"/>
        </w:rPr>
        <w:t>25</w:t>
      </w:r>
      <w:r w:rsidRPr="000F40B7">
        <w:rPr>
          <w:rFonts w:ascii="Arial" w:eastAsia="Times New Roman" w:hAnsi="Arial" w:cs="Arial"/>
          <w:sz w:val="20"/>
          <w:szCs w:val="20"/>
        </w:rPr>
        <w:t>(3&amp;4), 1-6.</w:t>
      </w:r>
    </w:p>
    <w:p w14:paraId="281BA7A3" w14:textId="77777777" w:rsidR="00120914" w:rsidRDefault="00120914" w:rsidP="0012091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C918B50" w14:textId="77777777" w:rsidR="000F40B7" w:rsidRDefault="0046352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DD202C" w14:textId="77777777" w:rsidR="000F40B7" w:rsidRDefault="0046352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BFF183" w14:textId="77777777" w:rsidR="000F40B7" w:rsidRDefault="004635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4AEAE" w14:textId="77777777" w:rsidR="0046352F" w:rsidRDefault="0046352F" w:rsidP="00120914">
      <w:r>
        <w:separator/>
      </w:r>
    </w:p>
  </w:footnote>
  <w:footnote w:type="continuationSeparator" w:id="0">
    <w:p w14:paraId="0A29C3D2" w14:textId="77777777" w:rsidR="0046352F" w:rsidRDefault="0046352F" w:rsidP="001209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2BC66F" w14:textId="77777777" w:rsidR="00500398" w:rsidRDefault="00120914">
    <w:pPr>
      <w:pStyle w:val="Header"/>
    </w:pPr>
    <w:r>
      <w:rPr>
        <w:noProof/>
      </w:rPr>
      <mc:AlternateContent>
        <mc:Choice Requires="wps">
          <w:drawing>
            <wp:anchor distT="0" distB="0" distL="114300" distR="114300" simplePos="0" relativeHeight="251663360" behindDoc="1" locked="0" layoutInCell="0" allowOverlap="1" wp14:anchorId="6F2C08E6" wp14:editId="075E42EA">
              <wp:simplePos x="0" y="0"/>
              <wp:positionH relativeFrom="margin">
                <wp:align>center</wp:align>
              </wp:positionH>
              <wp:positionV relativeFrom="margin">
                <wp:align>center</wp:align>
              </wp:positionV>
              <wp:extent cx="6285230" cy="106680"/>
              <wp:effectExtent l="0" t="1917700" r="0" b="1905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22FE61" w14:textId="77777777" w:rsidR="00120914" w:rsidRDefault="00120914" w:rsidP="00120914">
                          <w:pPr>
                            <w:pStyle w:val="NormalWeb"/>
                            <w:spacing w:before="0" w:beforeAutospacing="0" w:after="0" w:afterAutospacing="0"/>
                            <w:jc w:val="center"/>
                          </w:pPr>
                          <w:r>
                            <w:rPr>
                              <w:rFonts w:ascii="Calibri" w:eastAsia="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2C08E6" id="_x0000_t202" coordsize="21600,21600" o:spt="202" path="m0,0l0,21600,21600,21600,21600,0xe">
              <v:stroke joinstyle="miter"/>
              <v:path gradientshapeok="t" o:connecttype="rect"/>
            </v:shapetype>
            <v:shape id="Text Box 3" o:spid="_x0000_s1026" type="#_x0000_t202" style="position:absolute;margin-left:0;margin-top:0;width:494.9pt;height:8.4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" o:allowincell="f" filled="f" stroked="f">
              <v:stroke joinstyle="round"/>
              <o:lock v:ext="edit" shapetype="t"/>
              <v:textbox style="mso-fit-shape-to-text:t">
                <w:txbxContent>
                  <w:p w14:paraId="4D22FE61" w14:textId="77777777" w:rsidR="00120914" w:rsidRDefault="00120914" w:rsidP="00120914">
                    <w:pPr>
                      <w:pStyle w:val="NormalWeb"/>
                      <w:spacing w:before="0" w:beforeAutospacing="0" w:after="0" w:afterAutospacing="0"/>
                      <w:jc w:val="center"/>
                    </w:pPr>
                    <w:r>
                      <w:rPr>
                        <w:rFonts w:ascii="Calibri" w:eastAsia="Calibri" w:hAnsi="Calibri" w:cs="Calibri"/>
                        <w:color w:val="C0C0C0"/>
                        <w:sz w:val="2"/>
                        <w:szCs w:val="2"/>
                      </w:rPr>
                      <w:t>DRAFT</w:t>
                    </w:r>
                  </w:p>
                </w:txbxContent>
              </v:textbox>
              <w10:wrap anchorx="margin" anchory="margin"/>
            </v:shape>
          </w:pict>
        </mc:Fallback>
      </mc:AlternateContent>
    </w:r>
    <w:r w:rsidR="0046352F">
      <w:rPr>
        <w:noProof/>
      </w:rPr>
      <w:pict w14:anchorId="4639B91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94.9pt;height:164.95pt;rotation:315;z-index:-251656192;mso-position-horizontal:center;mso-position-horizontal-relative:margin;mso-position-vertical:center;mso-position-vertical-relative:margin" o:allowincell="f" fillcolor="silver" stroked="f">
          <v:textpath style="font-family:&quot;Century Gothic&quot;;font-size:1pt" string="DRAFT"/>
          <w10:wrap anchorx="margin" anchory="margin"/>
        </v:shape>
      </w:pict>
    </w:r>
    <w:r w:rsidR="0046352F">
      <w:rPr>
        <w:noProof/>
      </w:rPr>
      <w:pict w14:anchorId="2F7E7608">
        <v:shape id="PowerPlusWaterMarkObject1" o:spid="_x0000_s1025" type="#_x0000_t136" style="position:absolute;margin-left:0;margin-top:0;width:494.9pt;height:164.95pt;rotation:315;z-index:-251658240;mso-position-horizontal:center;mso-position-horizontal-relative:margin;mso-position-vertical:center;mso-position-vertical-relative:margin" o:allowincell="f" fillcolor="silver" stroked="f">
          <v:textpath style="font-family:&quot;Century Gothic&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98FCC83" w14:textId="77777777" w:rsidR="00D8232C" w:rsidRDefault="00120914">
    <w:pPr>
      <w:pStyle w:val="Header"/>
    </w:pPr>
    <w:r>
      <w:rPr>
        <w:noProof/>
      </w:rPr>
      <mc:AlternateContent>
        <mc:Choice Requires="wps">
          <w:drawing>
            <wp:anchor distT="0" distB="0" distL="114300" distR="114300" simplePos="0" relativeHeight="251662336" behindDoc="1" locked="0" layoutInCell="0" allowOverlap="1" wp14:anchorId="2182E01C" wp14:editId="34DC456D">
              <wp:simplePos x="0" y="0"/>
              <wp:positionH relativeFrom="margin">
                <wp:align>center</wp:align>
              </wp:positionH>
              <wp:positionV relativeFrom="margin">
                <wp:align>center</wp:align>
              </wp:positionV>
              <wp:extent cx="6285230" cy="106680"/>
              <wp:effectExtent l="0" t="1917700" r="0" b="1905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B2DDCC" w14:textId="77777777" w:rsidR="00120914" w:rsidRDefault="00120914" w:rsidP="00120914">
                          <w:pPr>
                            <w:pStyle w:val="NormalWeb"/>
                            <w:spacing w:before="0" w:beforeAutospacing="0" w:after="0" w:afterAutospacing="0"/>
                            <w:jc w:val="center"/>
                          </w:pPr>
                          <w:r>
                            <w:rPr>
                              <w:rFonts w:ascii="Calibri" w:eastAsia="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82E01C" id="_x0000_t202" coordsize="21600,21600" o:spt="202" path="m0,0l0,21600,21600,21600,21600,0xe">
              <v:stroke joinstyle="miter"/>
              <v:path gradientshapeok="t" o:connecttype="rect"/>
            </v:shapetype>
            <v:shape id="Text Box 2" o:spid="_x0000_s1027" type="#_x0000_t202" style="position:absolute;margin-left:0;margin-top:0;width:494.9pt;height:8.4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" o:allowincell="f" filled="f" stroked="f">
              <v:stroke joinstyle="round"/>
              <o:lock v:ext="edit" shapetype="t"/>
              <v:textbox style="mso-fit-shape-to-text:t">
                <w:txbxContent>
                  <w:p w14:paraId="67B2DDCC" w14:textId="77777777" w:rsidR="00120914" w:rsidRDefault="00120914" w:rsidP="00120914">
                    <w:pPr>
                      <w:pStyle w:val="NormalWeb"/>
                      <w:spacing w:before="0" w:beforeAutospacing="0" w:after="0" w:afterAutospacing="0"/>
                      <w:jc w:val="center"/>
                    </w:pPr>
                    <w:r>
                      <w:rPr>
                        <w:rFonts w:ascii="Calibri" w:eastAsia="Calibri" w:hAnsi="Calibri" w:cs="Calibri"/>
                        <w:color w:val="C0C0C0"/>
                        <w:sz w:val="2"/>
                        <w:szCs w:val="2"/>
                      </w:rPr>
                      <w:t>DRAFT</w:t>
                    </w:r>
                  </w:p>
                </w:txbxContent>
              </v:textbox>
              <w10:wrap anchorx="margin" anchory="margin"/>
            </v:shape>
          </w:pict>
        </mc:Fallback>
      </mc:AlternateContent>
    </w:r>
  </w:p>
  <w:p w14:paraId="6CA57B54" w14:textId="77777777" w:rsidR="00500398" w:rsidRDefault="0046352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EF94316" w14:textId="77777777" w:rsidR="00500398" w:rsidRDefault="00120914">
    <w:pPr>
      <w:pStyle w:val="Header"/>
    </w:pPr>
    <w:r>
      <w:rPr>
        <w:noProof/>
      </w:rPr>
      <mc:AlternateContent>
        <mc:Choice Requires="wps">
          <w:drawing>
            <wp:anchor distT="0" distB="0" distL="114300" distR="114300" simplePos="0" relativeHeight="251664384" behindDoc="1" locked="0" layoutInCell="0" allowOverlap="1" wp14:anchorId="0160235E" wp14:editId="60398C89">
              <wp:simplePos x="0" y="0"/>
              <wp:positionH relativeFrom="margin">
                <wp:align>center</wp:align>
              </wp:positionH>
              <wp:positionV relativeFrom="margin">
                <wp:align>center</wp:align>
              </wp:positionV>
              <wp:extent cx="6285230" cy="106680"/>
              <wp:effectExtent l="0" t="1917700" r="0" b="1905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EBAE5C" w14:textId="77777777" w:rsidR="00120914" w:rsidRDefault="00120914" w:rsidP="00120914">
                          <w:pPr>
                            <w:pStyle w:val="NormalWeb"/>
                            <w:spacing w:before="0" w:beforeAutospacing="0" w:after="0" w:afterAutospacing="0"/>
                            <w:jc w:val="center"/>
                          </w:pPr>
                          <w:r>
                            <w:rPr>
                              <w:rFonts w:ascii="Calibri" w:eastAsia="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60235E" id="_x0000_t202" coordsize="21600,21600" o:spt="202" path="m0,0l0,21600,21600,21600,21600,0xe">
              <v:stroke joinstyle="miter"/>
              <v:path gradientshapeok="t" o:connecttype="rect"/>
            </v:shapetype>
            <v:shape id="Text Box 1" o:spid="_x0000_s1028" type="#_x0000_t202" style="position:absolute;margin-left:0;margin-top:0;width:494.9pt;height:8.4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" o:allowincell="f" filled="f" stroked="f">
              <v:stroke joinstyle="round"/>
              <o:lock v:ext="edit" shapetype="t"/>
              <v:textbox style="mso-fit-shape-to-text:t">
                <w:txbxContent>
                  <w:p w14:paraId="7EEBAE5C" w14:textId="77777777" w:rsidR="00120914" w:rsidRDefault="00120914" w:rsidP="00120914">
                    <w:pPr>
                      <w:pStyle w:val="NormalWeb"/>
                      <w:spacing w:before="0" w:beforeAutospacing="0" w:after="0" w:afterAutospacing="0"/>
                      <w:jc w:val="center"/>
                    </w:pPr>
                    <w:r>
                      <w:rPr>
                        <w:rFonts w:ascii="Calibri" w:eastAsia="Calibri" w:hAnsi="Calibri" w:cs="Calibri"/>
                        <w:color w:val="C0C0C0"/>
                        <w:sz w:val="2"/>
                        <w:szCs w:val="2"/>
                      </w:rPr>
                      <w:t>DRAFT</w:t>
                    </w:r>
                  </w:p>
                </w:txbxContent>
              </v:textbox>
              <w10:wrap anchorx="margin" anchory="margin"/>
            </v:shape>
          </w:pict>
        </mc:Fallback>
      </mc:AlternateContent>
    </w:r>
    <w:r w:rsidR="0046352F">
      <w:rPr>
        <w:noProof/>
      </w:rPr>
      <w:pict w14:anchorId="1AD1573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94.9pt;height:164.95pt;rotation:315;z-index:-251655168;mso-position-horizontal:center;mso-position-horizontal-relative:margin;mso-position-vertical:center;mso-position-vertical-relative:margin" o:allowincell="f" fillcolor="silver" stroked="f">
          <v:textpath style="font-family:&quot;Century Gothic&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F45571"/>
    <w:multiLevelType w:val="hybridMultilevel"/>
    <w:tmpl w:val="93C8CCB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68829B7"/>
    <w:multiLevelType w:val="hybridMultilevel"/>
    <w:tmpl w:val="2DA686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914"/>
    <w:rsid w:val="00120914"/>
    <w:rsid w:val="0046352F"/>
    <w:rsid w:val="00790668"/>
    <w:rsid w:val="007B02ED"/>
    <w:rsid w:val="00AA4F99"/>
    <w:rsid w:val="00AB1CA2"/>
    <w:rsid w:val="00F3339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5C86D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091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914"/>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120914"/>
  </w:style>
  <w:style w:type="paragraph" w:styleId="ListParagraph">
    <w:name w:val="List Paragraph"/>
    <w:basedOn w:val="Normal"/>
    <w:uiPriority w:val="34"/>
    <w:qFormat/>
    <w:rsid w:val="00120914"/>
    <w:pPr>
      <w:ind w:left="720"/>
      <w:contextualSpacing/>
    </w:pPr>
    <w:rPr>
      <w:rFonts w:asciiTheme="minorHAnsi" w:hAnsiTheme="minorHAnsi"/>
    </w:rPr>
  </w:style>
  <w:style w:type="paragraph" w:styleId="Footer">
    <w:name w:val="footer"/>
    <w:basedOn w:val="Normal"/>
    <w:link w:val="FooterChar"/>
    <w:uiPriority w:val="99"/>
    <w:unhideWhenUsed/>
    <w:rsid w:val="00120914"/>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120914"/>
  </w:style>
  <w:style w:type="paragraph" w:styleId="EndnoteText">
    <w:name w:val="endnote text"/>
    <w:basedOn w:val="Normal"/>
    <w:link w:val="EndnoteTextChar"/>
    <w:uiPriority w:val="99"/>
    <w:unhideWhenUsed/>
    <w:rsid w:val="00120914"/>
  </w:style>
  <w:style w:type="character" w:customStyle="1" w:styleId="EndnoteTextChar">
    <w:name w:val="Endnote Text Char"/>
    <w:basedOn w:val="DefaultParagraphFont"/>
    <w:link w:val="EndnoteText"/>
    <w:uiPriority w:val="99"/>
    <w:rsid w:val="00120914"/>
    <w:rPr>
      <w:rFonts w:ascii="Times New Roman" w:hAnsi="Times New Roman"/>
    </w:rPr>
  </w:style>
  <w:style w:type="character" w:styleId="EndnoteReference">
    <w:name w:val="endnote reference"/>
    <w:basedOn w:val="DefaultParagraphFont"/>
    <w:uiPriority w:val="99"/>
    <w:unhideWhenUsed/>
    <w:rsid w:val="00120914"/>
    <w:rPr>
      <w:vertAlign w:val="superscript"/>
    </w:rPr>
  </w:style>
  <w:style w:type="paragraph" w:styleId="NormalWeb">
    <w:name w:val="Normal (Web)"/>
    <w:basedOn w:val="Normal"/>
    <w:uiPriority w:val="99"/>
    <w:semiHidden/>
    <w:unhideWhenUsed/>
    <w:rsid w:val="00120914"/>
    <w:pPr>
      <w:spacing w:before="100" w:beforeAutospacing="1" w:after="100" w:afterAutospacing="1"/>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4219</Characters>
  <Application>Microsoft Macintosh Word</Application>
  <DocSecurity>0</DocSecurity>
  <Lines>35</Lines>
  <Paragraphs>9</Paragraphs>
  <ScaleCrop>false</ScaleCrop>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Robin H. Cresiski</cp:lastModifiedBy>
  <cp:revision>2</cp:revision>
  <dcterms:created xsi:type="dcterms:W3CDTF">2017-08-28T15:08:00Z</dcterms:created>
  <dcterms:modified xsi:type="dcterms:W3CDTF">2017-08-28T15:08:00Z</dcterms:modified>
</cp:coreProperties>
</file>